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62A4" w:rsidRPr="009C62A4" w:rsidRDefault="009C62A4" w:rsidP="009C62A4">
      <w:pPr>
        <w:spacing w:before="100" w:after="100" w:line="240" w:lineRule="auto"/>
        <w:jc w:val="center"/>
        <w:rPr>
          <w:rFonts w:ascii="Times New Roman" w:eastAsia="Times New Roman" w:hAnsi="Times New Roman" w:cs="Times New Roman"/>
          <w:color w:val="000000"/>
          <w:sz w:val="27"/>
          <w:szCs w:val="27"/>
          <w:lang w:eastAsia="ru-RU"/>
        </w:rPr>
      </w:pPr>
      <w:r w:rsidRPr="009C62A4">
        <w:rPr>
          <w:rFonts w:ascii="Times New Roman" w:eastAsia="Times New Roman" w:hAnsi="Times New Roman" w:cs="Times New Roman"/>
          <w:b/>
          <w:bCs/>
          <w:color w:val="000000"/>
          <w:sz w:val="36"/>
          <w:szCs w:val="36"/>
          <w:shd w:val="clear" w:color="auto" w:fill="E6ECF9"/>
          <w:lang w:eastAsia="ru-RU"/>
        </w:rPr>
        <w:t>Американская ассоциация юристов</w:t>
      </w:r>
    </w:p>
    <w:p w:rsidR="009C62A4" w:rsidRPr="009C62A4" w:rsidRDefault="009C62A4" w:rsidP="009C62A4">
      <w:pPr>
        <w:spacing w:before="100" w:after="100" w:line="240" w:lineRule="auto"/>
        <w:jc w:val="center"/>
        <w:rPr>
          <w:rFonts w:ascii="Times New Roman" w:eastAsia="Times New Roman" w:hAnsi="Times New Roman" w:cs="Times New Roman"/>
          <w:color w:val="000000"/>
          <w:sz w:val="27"/>
          <w:szCs w:val="27"/>
          <w:lang w:eastAsia="ru-RU"/>
        </w:rPr>
      </w:pPr>
      <w:r w:rsidRPr="009C62A4">
        <w:rPr>
          <w:rFonts w:ascii="Times New Roman" w:eastAsia="Times New Roman" w:hAnsi="Times New Roman" w:cs="Times New Roman"/>
          <w:b/>
          <w:bCs/>
          <w:color w:val="000000"/>
          <w:sz w:val="28"/>
          <w:szCs w:val="28"/>
          <w:lang w:eastAsia="ru-RU"/>
        </w:rPr>
        <w:t>Форум по строительной отрасли</w:t>
      </w:r>
    </w:p>
    <w:p w:rsidR="009C62A4" w:rsidRPr="009C62A4" w:rsidRDefault="009C62A4" w:rsidP="009C62A4">
      <w:pPr>
        <w:spacing w:before="100" w:after="100" w:line="240" w:lineRule="auto"/>
        <w:jc w:val="center"/>
        <w:rPr>
          <w:rFonts w:ascii="Times New Roman" w:eastAsia="Times New Roman" w:hAnsi="Times New Roman" w:cs="Times New Roman"/>
          <w:color w:val="000000"/>
          <w:sz w:val="27"/>
          <w:szCs w:val="27"/>
          <w:lang w:eastAsia="ru-RU"/>
        </w:rPr>
      </w:pPr>
      <w:r w:rsidRPr="009C62A4">
        <w:rPr>
          <w:rFonts w:ascii="Times New Roman" w:eastAsia="Times New Roman" w:hAnsi="Times New Roman" w:cs="Times New Roman"/>
          <w:b/>
          <w:bCs/>
          <w:color w:val="000000"/>
          <w:sz w:val="24"/>
          <w:szCs w:val="24"/>
          <w:lang w:eastAsia="ru-RU"/>
        </w:rPr>
        <w:t> </w:t>
      </w:r>
    </w:p>
    <w:p w:rsidR="009C62A4" w:rsidRPr="009C62A4" w:rsidRDefault="009C62A4" w:rsidP="009C62A4">
      <w:pPr>
        <w:spacing w:after="0" w:line="240" w:lineRule="auto"/>
        <w:rPr>
          <w:rFonts w:ascii="Times New Roman" w:eastAsia="Times New Roman" w:hAnsi="Times New Roman" w:cs="Times New Roman"/>
          <w:color w:val="000000"/>
          <w:sz w:val="27"/>
          <w:szCs w:val="27"/>
          <w:lang w:eastAsia="ru-RU"/>
        </w:rPr>
      </w:pPr>
      <w:r w:rsidRPr="009C62A4">
        <w:rPr>
          <w:rFonts w:ascii="Times New Roman" w:eastAsia="Times New Roman" w:hAnsi="Times New Roman" w:cs="Times New Roman"/>
          <w:color w:val="000000"/>
          <w:sz w:val="27"/>
          <w:szCs w:val="27"/>
          <w:lang w:eastAsia="ru-RU"/>
        </w:rPr>
        <w:pict>
          <v:rect id="_x0000_i1025" style="width:844.6pt;height:1.25pt" o:hrpct="0" o:hralign="center" o:hrstd="t" o:hrnoshade="t" o:hr="t" fillcolor="black" stroked="f"/>
        </w:pict>
      </w:r>
    </w:p>
    <w:p w:rsidR="009C62A4" w:rsidRPr="009C62A4" w:rsidRDefault="009C62A4" w:rsidP="009C62A4">
      <w:pPr>
        <w:spacing w:before="100" w:after="100" w:line="240" w:lineRule="auto"/>
        <w:jc w:val="center"/>
        <w:rPr>
          <w:rFonts w:ascii="Times New Roman" w:eastAsia="Times New Roman" w:hAnsi="Times New Roman" w:cs="Times New Roman"/>
          <w:color w:val="000000"/>
          <w:sz w:val="27"/>
          <w:szCs w:val="27"/>
          <w:lang w:eastAsia="ru-RU"/>
        </w:rPr>
      </w:pPr>
      <w:r w:rsidRPr="009C62A4">
        <w:rPr>
          <w:rFonts w:ascii="Times New Roman" w:eastAsia="Times New Roman" w:hAnsi="Times New Roman" w:cs="Times New Roman"/>
          <w:b/>
          <w:bCs/>
          <w:color w:val="000000"/>
          <w:sz w:val="24"/>
          <w:szCs w:val="24"/>
          <w:lang w:eastAsia="ru-RU"/>
        </w:rPr>
        <w:t> </w:t>
      </w:r>
    </w:p>
    <w:p w:rsidR="009C62A4" w:rsidRPr="009C62A4" w:rsidRDefault="009C62A4" w:rsidP="009C62A4">
      <w:pPr>
        <w:spacing w:before="100" w:after="100" w:line="240" w:lineRule="auto"/>
        <w:jc w:val="center"/>
        <w:rPr>
          <w:rFonts w:ascii="Times New Roman" w:eastAsia="Times New Roman" w:hAnsi="Times New Roman" w:cs="Times New Roman"/>
          <w:color w:val="000000"/>
          <w:sz w:val="27"/>
          <w:szCs w:val="27"/>
          <w:lang w:eastAsia="ru-RU"/>
        </w:rPr>
      </w:pPr>
      <w:r w:rsidRPr="009C62A4">
        <w:rPr>
          <w:rFonts w:ascii="Times New Roman" w:eastAsia="Times New Roman" w:hAnsi="Times New Roman" w:cs="Times New Roman"/>
          <w:b/>
          <w:bCs/>
          <w:color w:val="000000"/>
          <w:sz w:val="24"/>
          <w:szCs w:val="24"/>
          <w:lang w:eastAsia="ru-RU"/>
        </w:rPr>
        <w:t> </w:t>
      </w:r>
    </w:p>
    <w:p w:rsidR="009C62A4" w:rsidRPr="009C62A4" w:rsidRDefault="009C62A4" w:rsidP="009C62A4">
      <w:pPr>
        <w:spacing w:before="100" w:after="100" w:line="240" w:lineRule="auto"/>
        <w:jc w:val="center"/>
        <w:rPr>
          <w:rFonts w:ascii="Times New Roman" w:eastAsia="Times New Roman" w:hAnsi="Times New Roman" w:cs="Times New Roman"/>
          <w:color w:val="000000"/>
          <w:sz w:val="27"/>
          <w:szCs w:val="27"/>
          <w:lang w:eastAsia="ru-RU"/>
        </w:rPr>
      </w:pPr>
      <w:r w:rsidRPr="009C62A4">
        <w:rPr>
          <w:rFonts w:ascii="Times New Roman" w:eastAsia="Times New Roman" w:hAnsi="Times New Roman" w:cs="Times New Roman"/>
          <w:b/>
          <w:bCs/>
          <w:color w:val="000000"/>
          <w:sz w:val="36"/>
          <w:szCs w:val="36"/>
          <w:lang w:eastAsia="ru-RU"/>
        </w:rPr>
        <w:t>Использование открытого учета книг в стоимость возмещаемых контрактов</w:t>
      </w:r>
    </w:p>
    <w:p w:rsidR="009C62A4" w:rsidRPr="009C62A4" w:rsidRDefault="009C62A4" w:rsidP="009C62A4">
      <w:pPr>
        <w:spacing w:before="100" w:after="100" w:line="240" w:lineRule="auto"/>
        <w:jc w:val="center"/>
        <w:rPr>
          <w:rFonts w:ascii="Times New Roman" w:eastAsia="Times New Roman" w:hAnsi="Times New Roman" w:cs="Times New Roman"/>
          <w:color w:val="000000"/>
          <w:sz w:val="27"/>
          <w:szCs w:val="27"/>
          <w:lang w:eastAsia="ru-RU"/>
        </w:rPr>
      </w:pPr>
      <w:r w:rsidRPr="009C62A4">
        <w:rPr>
          <w:rFonts w:ascii="Times New Roman" w:eastAsia="Times New Roman" w:hAnsi="Times New Roman" w:cs="Times New Roman"/>
          <w:b/>
          <w:bCs/>
          <w:color w:val="000000"/>
          <w:sz w:val="24"/>
          <w:szCs w:val="24"/>
          <w:lang w:eastAsia="ru-RU"/>
        </w:rPr>
        <w:t> </w:t>
      </w:r>
    </w:p>
    <w:p w:rsidR="009C62A4" w:rsidRPr="009C62A4" w:rsidRDefault="009C62A4" w:rsidP="009C62A4">
      <w:pPr>
        <w:spacing w:before="100" w:after="100" w:line="240" w:lineRule="auto"/>
        <w:jc w:val="center"/>
        <w:rPr>
          <w:rFonts w:ascii="Times New Roman" w:eastAsia="Times New Roman" w:hAnsi="Times New Roman" w:cs="Times New Roman"/>
          <w:color w:val="000000"/>
          <w:sz w:val="27"/>
          <w:szCs w:val="27"/>
          <w:lang w:eastAsia="ru-RU"/>
        </w:rPr>
      </w:pPr>
      <w:r w:rsidRPr="009C62A4">
        <w:rPr>
          <w:rFonts w:ascii="Times New Roman" w:eastAsia="Times New Roman" w:hAnsi="Times New Roman" w:cs="Times New Roman"/>
          <w:b/>
          <w:bCs/>
          <w:color w:val="000000"/>
          <w:sz w:val="24"/>
          <w:szCs w:val="24"/>
          <w:lang w:eastAsia="ru-RU"/>
        </w:rPr>
        <w:t>воздушный распылитель</w:t>
      </w:r>
    </w:p>
    <w:p w:rsidR="009C62A4" w:rsidRPr="009C62A4" w:rsidRDefault="009C62A4" w:rsidP="009C62A4">
      <w:pPr>
        <w:spacing w:before="100" w:after="100" w:line="240" w:lineRule="auto"/>
        <w:jc w:val="center"/>
        <w:rPr>
          <w:rFonts w:ascii="Times New Roman" w:eastAsia="Times New Roman" w:hAnsi="Times New Roman" w:cs="Times New Roman"/>
          <w:color w:val="000000"/>
          <w:sz w:val="27"/>
          <w:szCs w:val="27"/>
          <w:lang w:eastAsia="ru-RU"/>
        </w:rPr>
      </w:pPr>
      <w:r w:rsidRPr="009C62A4">
        <w:rPr>
          <w:rFonts w:ascii="Times New Roman" w:eastAsia="Times New Roman" w:hAnsi="Times New Roman" w:cs="Times New Roman"/>
          <w:b/>
          <w:bCs/>
          <w:color w:val="000000"/>
          <w:sz w:val="24"/>
          <w:szCs w:val="24"/>
          <w:lang w:eastAsia="ru-RU"/>
        </w:rPr>
        <w:t> </w:t>
      </w:r>
    </w:p>
    <w:p w:rsidR="009C62A4" w:rsidRPr="009C62A4" w:rsidRDefault="009C62A4" w:rsidP="009C62A4">
      <w:pPr>
        <w:spacing w:after="0" w:line="240" w:lineRule="auto"/>
        <w:rPr>
          <w:rFonts w:ascii="Times New Roman" w:eastAsia="Times New Roman" w:hAnsi="Times New Roman" w:cs="Times New Roman"/>
          <w:sz w:val="24"/>
          <w:szCs w:val="24"/>
          <w:lang w:eastAsia="ru-RU"/>
        </w:rPr>
      </w:pPr>
    </w:p>
    <w:p w:rsidR="009C62A4" w:rsidRPr="009C62A4" w:rsidRDefault="009C62A4" w:rsidP="009C62A4">
      <w:pPr>
        <w:spacing w:after="0" w:line="240" w:lineRule="auto"/>
        <w:jc w:val="center"/>
        <w:rPr>
          <w:rFonts w:ascii="Times New Roman" w:eastAsia="Times New Roman" w:hAnsi="Times New Roman" w:cs="Times New Roman"/>
          <w:color w:val="000000"/>
          <w:sz w:val="27"/>
          <w:szCs w:val="27"/>
          <w:lang w:eastAsia="ru-RU"/>
        </w:rPr>
      </w:pPr>
      <w:r w:rsidRPr="009C62A4">
        <w:rPr>
          <w:rFonts w:ascii="Times New Roman" w:eastAsia="Times New Roman" w:hAnsi="Times New Roman" w:cs="Times New Roman"/>
          <w:b/>
          <w:bCs/>
          <w:color w:val="000000"/>
          <w:sz w:val="24"/>
          <w:szCs w:val="24"/>
          <w:lang w:eastAsia="ru-RU"/>
        </w:rPr>
        <w:t>Боб Meynardie</w:t>
      </w:r>
    </w:p>
    <w:p w:rsidR="009C62A4" w:rsidRPr="009C62A4" w:rsidRDefault="009C62A4" w:rsidP="009C62A4">
      <w:pPr>
        <w:spacing w:after="0" w:line="240" w:lineRule="auto"/>
        <w:jc w:val="center"/>
        <w:rPr>
          <w:rFonts w:ascii="Times New Roman" w:eastAsia="Times New Roman" w:hAnsi="Times New Roman" w:cs="Times New Roman"/>
          <w:color w:val="000000"/>
          <w:sz w:val="27"/>
          <w:szCs w:val="27"/>
          <w:lang w:eastAsia="ru-RU"/>
        </w:rPr>
      </w:pPr>
      <w:r w:rsidRPr="009C62A4">
        <w:rPr>
          <w:rFonts w:ascii="Times New Roman" w:eastAsia="Times New Roman" w:hAnsi="Times New Roman" w:cs="Times New Roman"/>
          <w:b/>
          <w:bCs/>
          <w:color w:val="000000"/>
          <w:sz w:val="24"/>
          <w:szCs w:val="24"/>
          <w:lang w:eastAsia="ru-RU"/>
        </w:rPr>
        <w:t>Meynardie и ​​няня, PLLC</w:t>
      </w:r>
    </w:p>
    <w:p w:rsidR="009C62A4" w:rsidRPr="009C62A4" w:rsidRDefault="009C62A4" w:rsidP="009C62A4">
      <w:pPr>
        <w:spacing w:after="0" w:line="240" w:lineRule="auto"/>
        <w:jc w:val="center"/>
        <w:rPr>
          <w:rFonts w:ascii="Times New Roman" w:eastAsia="Times New Roman" w:hAnsi="Times New Roman" w:cs="Times New Roman"/>
          <w:color w:val="000000"/>
          <w:sz w:val="27"/>
          <w:szCs w:val="27"/>
          <w:lang w:eastAsia="ru-RU"/>
        </w:rPr>
      </w:pPr>
      <w:r w:rsidRPr="009C62A4">
        <w:rPr>
          <w:rFonts w:ascii="Times New Roman" w:eastAsia="Times New Roman" w:hAnsi="Times New Roman" w:cs="Times New Roman"/>
          <w:b/>
          <w:bCs/>
          <w:color w:val="000000"/>
          <w:sz w:val="24"/>
          <w:szCs w:val="24"/>
          <w:lang w:eastAsia="ru-RU"/>
        </w:rPr>
        <w:t>Роли, Северная Каролина</w:t>
      </w:r>
    </w:p>
    <w:p w:rsidR="009C62A4" w:rsidRPr="009C62A4" w:rsidRDefault="009C62A4" w:rsidP="009C62A4">
      <w:pPr>
        <w:spacing w:after="0" w:line="240" w:lineRule="auto"/>
        <w:jc w:val="center"/>
        <w:rPr>
          <w:rFonts w:ascii="Times New Roman" w:eastAsia="Times New Roman" w:hAnsi="Times New Roman" w:cs="Times New Roman"/>
          <w:color w:val="000000"/>
          <w:sz w:val="27"/>
          <w:szCs w:val="27"/>
          <w:lang w:eastAsia="ru-RU"/>
        </w:rPr>
      </w:pPr>
      <w:r w:rsidRPr="009C62A4">
        <w:rPr>
          <w:rFonts w:ascii="Times New Roman" w:eastAsia="Times New Roman" w:hAnsi="Times New Roman" w:cs="Times New Roman"/>
          <w:color w:val="000000"/>
          <w:sz w:val="27"/>
          <w:szCs w:val="27"/>
          <w:lang w:eastAsia="ru-RU"/>
        </w:rPr>
        <w:br w:type="textWrapping" w:clear="all"/>
      </w:r>
      <w:r w:rsidRPr="009C62A4">
        <w:rPr>
          <w:rFonts w:ascii="Times New Roman" w:eastAsia="Times New Roman" w:hAnsi="Times New Roman" w:cs="Times New Roman"/>
          <w:b/>
          <w:bCs/>
          <w:color w:val="000000"/>
          <w:sz w:val="24"/>
          <w:szCs w:val="24"/>
          <w:lang w:eastAsia="ru-RU"/>
        </w:rPr>
        <w:t>Алан Ф. Nagorzanski</w:t>
      </w:r>
    </w:p>
    <w:p w:rsidR="009C62A4" w:rsidRPr="009C62A4" w:rsidRDefault="009C62A4" w:rsidP="009C62A4">
      <w:pPr>
        <w:spacing w:after="0" w:line="240" w:lineRule="auto"/>
        <w:jc w:val="center"/>
        <w:rPr>
          <w:rFonts w:ascii="Times New Roman" w:eastAsia="Times New Roman" w:hAnsi="Times New Roman" w:cs="Times New Roman"/>
          <w:color w:val="000000"/>
          <w:sz w:val="27"/>
          <w:szCs w:val="27"/>
          <w:lang w:eastAsia="ru-RU"/>
        </w:rPr>
      </w:pPr>
      <w:r w:rsidRPr="009C62A4">
        <w:rPr>
          <w:rFonts w:ascii="Times New Roman" w:eastAsia="Times New Roman" w:hAnsi="Times New Roman" w:cs="Times New Roman"/>
          <w:b/>
          <w:bCs/>
          <w:color w:val="000000"/>
          <w:sz w:val="24"/>
          <w:szCs w:val="24"/>
          <w:lang w:eastAsia="ru-RU"/>
        </w:rPr>
        <w:t>Veritas консультативной группы, Inc</w:t>
      </w:r>
    </w:p>
    <w:p w:rsidR="009C62A4" w:rsidRPr="009C62A4" w:rsidRDefault="009C62A4" w:rsidP="009C62A4">
      <w:pPr>
        <w:spacing w:after="0" w:line="240" w:lineRule="auto"/>
        <w:jc w:val="center"/>
        <w:rPr>
          <w:rFonts w:ascii="Times New Roman" w:eastAsia="Times New Roman" w:hAnsi="Times New Roman" w:cs="Times New Roman"/>
          <w:color w:val="000000"/>
          <w:sz w:val="27"/>
          <w:szCs w:val="27"/>
          <w:lang w:eastAsia="ru-RU"/>
        </w:rPr>
      </w:pPr>
      <w:r w:rsidRPr="009C62A4">
        <w:rPr>
          <w:rFonts w:ascii="Times New Roman" w:eastAsia="Times New Roman" w:hAnsi="Times New Roman" w:cs="Times New Roman"/>
          <w:b/>
          <w:bCs/>
          <w:color w:val="000000"/>
          <w:sz w:val="24"/>
          <w:szCs w:val="24"/>
          <w:lang w:eastAsia="ru-RU"/>
        </w:rPr>
        <w:t>Даллас, штат Техас</w:t>
      </w:r>
    </w:p>
    <w:p w:rsidR="009C62A4" w:rsidRPr="009C62A4" w:rsidRDefault="009C62A4" w:rsidP="009C62A4">
      <w:pPr>
        <w:spacing w:before="100" w:after="100" w:line="240" w:lineRule="auto"/>
        <w:jc w:val="center"/>
        <w:rPr>
          <w:rFonts w:ascii="Times New Roman" w:eastAsia="Times New Roman" w:hAnsi="Times New Roman" w:cs="Times New Roman"/>
          <w:color w:val="000000"/>
          <w:sz w:val="27"/>
          <w:szCs w:val="27"/>
          <w:lang w:eastAsia="ru-RU"/>
        </w:rPr>
      </w:pPr>
      <w:r w:rsidRPr="009C62A4">
        <w:rPr>
          <w:rFonts w:ascii="Times New Roman" w:eastAsia="Times New Roman" w:hAnsi="Times New Roman" w:cs="Times New Roman"/>
          <w:b/>
          <w:bCs/>
          <w:color w:val="000000"/>
          <w:sz w:val="24"/>
          <w:szCs w:val="24"/>
          <w:lang w:eastAsia="ru-RU"/>
        </w:rPr>
        <w:t> </w:t>
      </w:r>
    </w:p>
    <w:p w:rsidR="009C62A4" w:rsidRPr="009C62A4" w:rsidRDefault="009C62A4" w:rsidP="009C62A4">
      <w:pPr>
        <w:spacing w:after="0" w:line="240" w:lineRule="auto"/>
        <w:rPr>
          <w:rFonts w:ascii="Times New Roman" w:eastAsia="Times New Roman" w:hAnsi="Times New Roman" w:cs="Times New Roman"/>
          <w:sz w:val="24"/>
          <w:szCs w:val="24"/>
          <w:lang w:eastAsia="ru-RU"/>
        </w:rPr>
      </w:pPr>
    </w:p>
    <w:p w:rsidR="009C62A4" w:rsidRPr="009C62A4" w:rsidRDefault="009C62A4" w:rsidP="009C62A4">
      <w:pPr>
        <w:spacing w:before="100" w:after="100" w:line="240" w:lineRule="auto"/>
        <w:jc w:val="center"/>
        <w:rPr>
          <w:rFonts w:ascii="Times New Roman" w:eastAsia="Times New Roman" w:hAnsi="Times New Roman" w:cs="Times New Roman"/>
          <w:color w:val="000000"/>
          <w:sz w:val="27"/>
          <w:szCs w:val="27"/>
          <w:lang w:eastAsia="ru-RU"/>
        </w:rPr>
      </w:pPr>
      <w:r w:rsidRPr="009C62A4">
        <w:rPr>
          <w:rFonts w:ascii="Times New Roman" w:eastAsia="Times New Roman" w:hAnsi="Times New Roman" w:cs="Times New Roman"/>
          <w:b/>
          <w:bCs/>
          <w:color w:val="000000"/>
          <w:sz w:val="24"/>
          <w:szCs w:val="24"/>
          <w:lang w:eastAsia="ru-RU"/>
        </w:rPr>
        <w:t> </w:t>
      </w:r>
    </w:p>
    <w:p w:rsidR="009C62A4" w:rsidRPr="009C62A4" w:rsidRDefault="009C62A4" w:rsidP="009C62A4">
      <w:pPr>
        <w:spacing w:before="100" w:after="100" w:line="240" w:lineRule="auto"/>
        <w:jc w:val="center"/>
        <w:rPr>
          <w:rFonts w:ascii="Times New Roman" w:eastAsia="Times New Roman" w:hAnsi="Times New Roman" w:cs="Times New Roman"/>
          <w:color w:val="000000"/>
          <w:sz w:val="27"/>
          <w:szCs w:val="27"/>
          <w:lang w:eastAsia="ru-RU"/>
        </w:rPr>
      </w:pPr>
      <w:r w:rsidRPr="009C62A4">
        <w:rPr>
          <w:rFonts w:ascii="Times New Roman" w:eastAsia="Times New Roman" w:hAnsi="Times New Roman" w:cs="Times New Roman"/>
          <w:b/>
          <w:bCs/>
          <w:color w:val="000000"/>
          <w:sz w:val="24"/>
          <w:szCs w:val="24"/>
          <w:lang w:eastAsia="ru-RU"/>
        </w:rPr>
        <w:t>Представленный в 2012 году совещание зимнюю</w:t>
      </w:r>
    </w:p>
    <w:p w:rsidR="009C62A4" w:rsidRPr="009C62A4" w:rsidRDefault="009C62A4" w:rsidP="009C62A4">
      <w:pPr>
        <w:spacing w:line="213" w:lineRule="atLeast"/>
        <w:jc w:val="center"/>
        <w:rPr>
          <w:rFonts w:ascii="Times New Roman" w:eastAsia="Times New Roman" w:hAnsi="Times New Roman" w:cs="Times New Roman"/>
          <w:color w:val="000000"/>
          <w:lang w:eastAsia="ru-RU"/>
        </w:rPr>
      </w:pPr>
      <w:r w:rsidRPr="009C62A4">
        <w:rPr>
          <w:rFonts w:ascii="Book Antiqua" w:eastAsia="Times New Roman" w:hAnsi="Book Antiqua" w:cs="Times New Roman"/>
          <w:b/>
          <w:bCs/>
          <w:color w:val="000000"/>
          <w:lang w:eastAsia="ru-RU"/>
        </w:rPr>
        <w:t>Инновационные правовых стратегий, разработанных в сложных проектов</w:t>
      </w:r>
    </w:p>
    <w:p w:rsidR="009C62A4" w:rsidRPr="009C62A4" w:rsidRDefault="009C62A4" w:rsidP="009C62A4">
      <w:pPr>
        <w:spacing w:before="100" w:after="100" w:line="240" w:lineRule="auto"/>
        <w:jc w:val="center"/>
        <w:rPr>
          <w:rFonts w:ascii="Times New Roman" w:eastAsia="Times New Roman" w:hAnsi="Times New Roman" w:cs="Times New Roman"/>
          <w:color w:val="000000"/>
          <w:sz w:val="27"/>
          <w:szCs w:val="27"/>
          <w:lang w:eastAsia="ru-RU"/>
        </w:rPr>
      </w:pPr>
      <w:r w:rsidRPr="009C62A4">
        <w:rPr>
          <w:rFonts w:ascii="Times New Roman" w:eastAsia="Times New Roman" w:hAnsi="Times New Roman" w:cs="Times New Roman"/>
          <w:b/>
          <w:bCs/>
          <w:color w:val="000000"/>
          <w:sz w:val="24"/>
          <w:szCs w:val="24"/>
          <w:lang w:eastAsia="ru-RU"/>
        </w:rPr>
        <w:t>2-3 февраля 2012 года</w:t>
      </w:r>
    </w:p>
    <w:p w:rsidR="009C62A4" w:rsidRPr="009C62A4" w:rsidRDefault="009C62A4" w:rsidP="009C62A4">
      <w:pPr>
        <w:spacing w:before="100" w:after="100" w:line="240" w:lineRule="auto"/>
        <w:jc w:val="center"/>
        <w:rPr>
          <w:rFonts w:ascii="Times New Roman" w:eastAsia="Times New Roman" w:hAnsi="Times New Roman" w:cs="Times New Roman"/>
          <w:color w:val="000000"/>
          <w:sz w:val="27"/>
          <w:szCs w:val="27"/>
          <w:lang w:eastAsia="ru-RU"/>
        </w:rPr>
      </w:pPr>
      <w:r w:rsidRPr="009C62A4">
        <w:rPr>
          <w:rFonts w:ascii="Times New Roman" w:eastAsia="Times New Roman" w:hAnsi="Times New Roman" w:cs="Times New Roman"/>
          <w:b/>
          <w:bCs/>
          <w:color w:val="000000"/>
          <w:sz w:val="24"/>
          <w:szCs w:val="24"/>
          <w:lang w:eastAsia="ru-RU"/>
        </w:rPr>
        <w:t>Intercontinental Hotel Хьюстон, Хьюстон, штат Техас</w:t>
      </w:r>
    </w:p>
    <w:p w:rsidR="009C62A4" w:rsidRPr="009C62A4" w:rsidRDefault="009C62A4" w:rsidP="009C62A4">
      <w:pPr>
        <w:spacing w:after="0" w:line="240" w:lineRule="auto"/>
        <w:rPr>
          <w:rFonts w:ascii="Times New Roman" w:eastAsia="Times New Roman" w:hAnsi="Times New Roman" w:cs="Times New Roman"/>
          <w:color w:val="000000"/>
          <w:sz w:val="27"/>
          <w:szCs w:val="27"/>
          <w:lang w:eastAsia="ru-RU"/>
        </w:rPr>
      </w:pPr>
      <w:r w:rsidRPr="009C62A4">
        <w:rPr>
          <w:rFonts w:ascii="Times New Roman" w:eastAsia="Times New Roman" w:hAnsi="Times New Roman" w:cs="Times New Roman"/>
          <w:color w:val="000000"/>
          <w:sz w:val="27"/>
          <w:szCs w:val="27"/>
          <w:lang w:eastAsia="ru-RU"/>
        </w:rPr>
        <w:pict>
          <v:rect id="_x0000_i1026" style="width:844.6pt;height:1.25pt" o:hrpct="0" o:hralign="center" o:hrstd="t" o:hrnoshade="t" o:hr="t" fillcolor="black" stroked="f"/>
        </w:pict>
      </w:r>
    </w:p>
    <w:p w:rsidR="009C62A4" w:rsidRPr="009C62A4" w:rsidRDefault="009C62A4" w:rsidP="009C62A4">
      <w:pPr>
        <w:spacing w:before="100" w:after="100" w:line="240" w:lineRule="auto"/>
        <w:jc w:val="center"/>
        <w:rPr>
          <w:rFonts w:ascii="Times New Roman" w:eastAsia="Times New Roman" w:hAnsi="Times New Roman" w:cs="Times New Roman"/>
          <w:color w:val="000000"/>
          <w:sz w:val="27"/>
          <w:szCs w:val="27"/>
          <w:lang w:eastAsia="ru-RU"/>
        </w:rPr>
      </w:pPr>
      <w:r w:rsidRPr="009C62A4">
        <w:rPr>
          <w:rFonts w:ascii="Times New Roman" w:eastAsia="Times New Roman" w:hAnsi="Times New Roman" w:cs="Times New Roman"/>
          <w:b/>
          <w:bCs/>
          <w:color w:val="000000"/>
          <w:sz w:val="24"/>
          <w:szCs w:val="24"/>
          <w:lang w:eastAsia="ru-RU"/>
        </w:rPr>
        <w:t> </w:t>
      </w:r>
    </w:p>
    <w:p w:rsidR="009C62A4" w:rsidRPr="009C62A4" w:rsidRDefault="009C62A4" w:rsidP="009C62A4">
      <w:pPr>
        <w:spacing w:before="100" w:after="100" w:line="240" w:lineRule="auto"/>
        <w:jc w:val="center"/>
        <w:rPr>
          <w:rFonts w:ascii="Times New Roman" w:eastAsia="Times New Roman" w:hAnsi="Times New Roman" w:cs="Times New Roman"/>
          <w:color w:val="000000"/>
          <w:sz w:val="27"/>
          <w:szCs w:val="27"/>
          <w:lang w:eastAsia="ru-RU"/>
        </w:rPr>
      </w:pPr>
      <w:r w:rsidRPr="009C62A4">
        <w:rPr>
          <w:rFonts w:ascii="Symbol" w:eastAsia="Times New Roman" w:hAnsi="Symbol" w:cs="Times New Roman"/>
          <w:b/>
          <w:bCs/>
          <w:color w:val="000000"/>
          <w:sz w:val="28"/>
          <w:szCs w:val="28"/>
          <w:lang w:eastAsia="ru-RU"/>
        </w:rPr>
        <w:sym w:font="Symbol" w:char="F0D3"/>
      </w:r>
      <w:r w:rsidRPr="009C62A4">
        <w:rPr>
          <w:rFonts w:ascii="Times New Roman" w:eastAsia="Times New Roman" w:hAnsi="Times New Roman" w:cs="Times New Roman"/>
          <w:color w:val="000000"/>
          <w:sz w:val="27"/>
          <w:lang w:eastAsia="ru-RU"/>
        </w:rPr>
        <w:t> </w:t>
      </w:r>
      <w:r w:rsidRPr="009C62A4">
        <w:rPr>
          <w:rFonts w:ascii="Times New Roman" w:eastAsia="Times New Roman" w:hAnsi="Times New Roman" w:cs="Times New Roman"/>
          <w:b/>
          <w:bCs/>
          <w:color w:val="000000"/>
          <w:sz w:val="28"/>
          <w:szCs w:val="28"/>
          <w:lang w:eastAsia="ru-RU"/>
        </w:rPr>
        <w:t>2012 Американская ассоциация юристов</w:t>
      </w:r>
    </w:p>
    <w:p w:rsidR="009C62A4" w:rsidRPr="009C62A4" w:rsidRDefault="009C62A4" w:rsidP="009C62A4">
      <w:pPr>
        <w:spacing w:before="100" w:after="100" w:line="301" w:lineRule="atLeast"/>
        <w:jc w:val="center"/>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7"/>
          <w:szCs w:val="27"/>
          <w:lang w:eastAsia="ru-RU"/>
        </w:rPr>
        <w:br w:type="page"/>
      </w:r>
      <w:r w:rsidRPr="009C62A4">
        <w:rPr>
          <w:rFonts w:ascii="Times New Roman" w:eastAsia="Times New Roman" w:hAnsi="Times New Roman" w:cs="Times New Roman"/>
          <w:b/>
          <w:bCs/>
          <w:color w:val="000000"/>
          <w:sz w:val="24"/>
          <w:szCs w:val="24"/>
          <w:lang w:eastAsia="ru-RU"/>
        </w:rPr>
        <w:lastRenderedPageBreak/>
        <w:t>Использование открытого учета книг в стоимость возмещаемых контрактов</w:t>
      </w:r>
    </w:p>
    <w:p w:rsidR="009C62A4" w:rsidRPr="009C62A4" w:rsidRDefault="009C62A4" w:rsidP="009C62A4">
      <w:pPr>
        <w:spacing w:before="100" w:after="100" w:line="238" w:lineRule="atLeast"/>
        <w:jc w:val="center"/>
        <w:rPr>
          <w:rFonts w:ascii="Times New Roman" w:eastAsia="Times New Roman" w:hAnsi="Times New Roman" w:cs="Times New Roman"/>
          <w:color w:val="000000"/>
          <w:sz w:val="20"/>
          <w:szCs w:val="20"/>
          <w:lang w:eastAsia="ru-RU"/>
        </w:rPr>
      </w:pPr>
      <w:r w:rsidRPr="009C62A4">
        <w:rPr>
          <w:rFonts w:ascii="Futura" w:eastAsia="Times New Roman" w:hAnsi="Futura" w:cs="Times New Roman"/>
          <w:b/>
          <w:bCs/>
          <w:color w:val="000000"/>
          <w:sz w:val="20"/>
          <w:szCs w:val="20"/>
          <w:lang w:eastAsia="ru-RU"/>
        </w:rPr>
        <w:t>Боб Meynardie и ​​Алан Ф. Nagorzanski</w:t>
      </w:r>
      <w:r w:rsidRPr="009C62A4">
        <w:rPr>
          <w:rFonts w:ascii="Times New Roman" w:eastAsia="Times New Roman" w:hAnsi="Times New Roman" w:cs="Times New Roman"/>
          <w:color w:val="000000"/>
          <w:sz w:val="20"/>
          <w:lang w:eastAsia="ru-RU"/>
        </w:rPr>
        <w:t> </w:t>
      </w:r>
      <w:bookmarkStart w:id="0" w:name="_ftnref1"/>
      <w:bookmarkEnd w:id="0"/>
      <w:r w:rsidRPr="009C62A4">
        <w:rPr>
          <w:rFonts w:ascii="Times New Roman" w:eastAsia="Times New Roman" w:hAnsi="Times New Roman" w:cs="Times New Roman"/>
          <w:color w:val="000000"/>
          <w:sz w:val="20"/>
          <w:szCs w:val="20"/>
          <w:lang w:eastAsia="ru-RU"/>
        </w:rPr>
        <w:fldChar w:fldCharType="begin"/>
      </w:r>
      <w:r w:rsidRPr="009C62A4">
        <w:rPr>
          <w:rFonts w:ascii="Times New Roman" w:eastAsia="Times New Roman" w:hAnsi="Times New Roman" w:cs="Times New Roman"/>
          <w:color w:val="000000"/>
          <w:sz w:val="20"/>
          <w:szCs w:val="20"/>
          <w:lang w:eastAsia="ru-RU"/>
        </w:rPr>
        <w:instrText xml:space="preserve"> HYPERLINK "http://translate.googleusercontent.com/translate_f" \l "_ftn1" </w:instrText>
      </w:r>
      <w:r w:rsidRPr="009C62A4">
        <w:rPr>
          <w:rFonts w:ascii="Times New Roman" w:eastAsia="Times New Roman" w:hAnsi="Times New Roman" w:cs="Times New Roman"/>
          <w:color w:val="000000"/>
          <w:sz w:val="20"/>
          <w:szCs w:val="20"/>
          <w:lang w:eastAsia="ru-RU"/>
        </w:rPr>
        <w:fldChar w:fldCharType="separate"/>
      </w:r>
      <w:r w:rsidRPr="009C62A4">
        <w:rPr>
          <w:rFonts w:ascii="Times New Roman" w:eastAsia="Times New Roman" w:hAnsi="Times New Roman" w:cs="Times New Roman"/>
          <w:color w:val="0000FF"/>
          <w:sz w:val="20"/>
          <w:u w:val="single"/>
          <w:lang w:eastAsia="ru-RU"/>
        </w:rPr>
        <w:t>[1]</w:t>
      </w:r>
      <w:r w:rsidRPr="009C62A4">
        <w:rPr>
          <w:rFonts w:ascii="Times New Roman" w:eastAsia="Times New Roman" w:hAnsi="Times New Roman" w:cs="Times New Roman"/>
          <w:color w:val="000000"/>
          <w:sz w:val="20"/>
          <w:szCs w:val="20"/>
          <w:lang w:eastAsia="ru-RU"/>
        </w:rPr>
        <w:fldChar w:fldCharType="end"/>
      </w:r>
    </w:p>
    <w:p w:rsidR="009C62A4" w:rsidRPr="009C62A4" w:rsidRDefault="009C62A4" w:rsidP="009C62A4">
      <w:pPr>
        <w:spacing w:before="100" w:after="100" w:line="301" w:lineRule="atLeast"/>
        <w:jc w:val="center"/>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 </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В последние годы он т строительной отрасли становится все более заинтересованы в установлении более тесно сотрудничать методов реализации проекта. Один из компонентов себе совместных усилий является разделение бухгалтерского учета и информацией между сторонами, которые часто называют в качестве открытой бухгалтерской книге. В данной статье рассматривается использование открытых бухгалтерских книг («ОВА») в строительной отрасли, и особое внимание уделяется использованию открытых положений контракта книги, соответствующий проект доставки на открытой бухгалтерской книге, типы проектов, которые поддаются открыть книгу бухгалтерский учет, и некоторые преимущества и недостатки, связанные с использованием открытого учета книгу.</w:t>
      </w:r>
    </w:p>
    <w:p w:rsidR="009C62A4" w:rsidRPr="009C62A4" w:rsidRDefault="009C62A4" w:rsidP="009C62A4">
      <w:pPr>
        <w:spacing w:before="100" w:after="100" w:line="401" w:lineRule="atLeast"/>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b/>
          <w:bCs/>
          <w:color w:val="000000"/>
          <w:sz w:val="24"/>
          <w:szCs w:val="24"/>
          <w:lang w:eastAsia="ru-RU"/>
        </w:rPr>
        <w:t>Введение в Книгу учета открытых («ОВА»)</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Н О единое определение охватывает все толкования и применения открытой бухгалтерской книге. Концептуально, открытой бухгалтерской книге описывается устройство, в котором каждой из сторон договор может согласиться, чтобы дать другой уровень доступа к своим данным бухгалтерского учета сверх того, что обычно предусматривается в традиционных бизнес-среде. Открытая организация учета книг, как правило, предоставляет доступ к нескольким слоям бухгалтерской информации в периодической, если бы не постоянный (в реальном времени) форме. Уровень доступа, каким образом доступ поставляется, и применимости такой информации не подчиняется любым отраслевым стандартом и должна быть CLE АРЛИ определены сторонами в начале контракта.</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 xml:space="preserve">В строительной отрасли, открытой бухгалтерской книге ("ОБА") относится к структурированным управления и совместного использования информации о затратах (Между владельцами и подрядчиками), которые традиционно оставались бы конфиденциальными.   В принципе, не должно быть никакой информации о стоимости удерживается или с любой стороны. Стоимость или бухгалтерские документы, начиная от оценки работы актуальную информацию отслеживания стоимости, будут распределены между сторонами. Типичные данные, хранящиеся на подрядчиков, включая материал покупки, аренды оборудования и закупок, субподрядных областей и судов производительности труда тра ск ING будет совместно с владельцем, чтобы помочь обеим сторонам (владелец и подрядчик) в принятии решений по управлению проектами. Такой обмен информацией позволяет владельцу участвовать в принятии решений, связанных с </w:t>
      </w:r>
      <w:r w:rsidRPr="009C62A4">
        <w:rPr>
          <w:rFonts w:ascii="Times New Roman" w:eastAsia="Times New Roman" w:hAnsi="Times New Roman" w:cs="Times New Roman"/>
          <w:color w:val="000000"/>
          <w:sz w:val="24"/>
          <w:szCs w:val="24"/>
          <w:lang w:eastAsia="ru-RU"/>
        </w:rPr>
        <w:lastRenderedPageBreak/>
        <w:t>крупными покупками, использования оборудования, численность экипажа, и работать сверхурочно или добавление смен.</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Для того, чтобы открытый процесс учета книг, чтобы быть эффективным, информация Стоимость проекта должна быть полной, прозрачной, точной, актуальной и доступной. Доступ к информации в соответствии OBA должны быть определены условия договора и должны удовлетворить потребности в предоставлении информации, предусмотренные сторонами. В контракте должны быть определены конкретные лица, имеющие доступ к учетной информации и принять меры безопасности для защиты кон fidentiality любой чувствительной или конфиденциальной информации. ОБА не должно означать неограниченную или неконтролируемый доступ к конфиденциальным данным, стоимость проекта, кроме того, что специально разрешено договором.Некоторая информация зарплата управления, бонус информации, справедливости компенсации, лицензирование расходы, а также домашних офисов информация о расходах может быть признана конфиденциальной и не являются необходимыми для расположения OBA.</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Концепция OBA не является новой для строительной отрасли. В конце концов, большинство возмещения расходов контрактов, в том числе нормативных документов AIA, предусмотреть возможность подрядчика открытие своего внутреннего бухгалтерского учета на рассмотрение владельца. Статья 11 A102 и A103 в частности позволяет владельцу, после уведомления Исполнителя, проверять отчеты подрядчика.</w:t>
      </w:r>
    </w:p>
    <w:p w:rsidR="009C62A4" w:rsidRPr="009C62A4" w:rsidRDefault="009C62A4" w:rsidP="009C62A4">
      <w:pPr>
        <w:spacing w:after="100" w:line="240" w:lineRule="auto"/>
        <w:ind w:left="720" w:right="720"/>
        <w:jc w:val="both"/>
        <w:rPr>
          <w:rFonts w:ascii="Times New Roman" w:eastAsia="Times New Roman" w:hAnsi="Times New Roman" w:cs="Times New Roman"/>
          <w:color w:val="000000"/>
          <w:sz w:val="27"/>
          <w:szCs w:val="27"/>
          <w:lang w:eastAsia="ru-RU"/>
        </w:rPr>
      </w:pPr>
      <w:r w:rsidRPr="009C62A4">
        <w:rPr>
          <w:rFonts w:ascii="Times New Roman" w:eastAsia="Times New Roman" w:hAnsi="Times New Roman" w:cs="Times New Roman"/>
          <w:color w:val="000000"/>
          <w:sz w:val="20"/>
          <w:szCs w:val="20"/>
          <w:lang w:eastAsia="ru-RU"/>
        </w:rPr>
        <w:t>Статья 11 - Ведение бухгалтерского учета</w:t>
      </w:r>
    </w:p>
    <w:p w:rsidR="009C62A4" w:rsidRPr="009C62A4" w:rsidRDefault="009C62A4" w:rsidP="009C62A4">
      <w:pPr>
        <w:spacing w:after="100" w:line="240" w:lineRule="auto"/>
        <w:ind w:left="720" w:right="720"/>
        <w:jc w:val="both"/>
        <w:rPr>
          <w:rFonts w:ascii="Times New Roman" w:eastAsia="Times New Roman" w:hAnsi="Times New Roman" w:cs="Times New Roman"/>
          <w:color w:val="000000"/>
          <w:sz w:val="27"/>
          <w:szCs w:val="27"/>
          <w:lang w:eastAsia="ru-RU"/>
        </w:rPr>
      </w:pPr>
      <w:r w:rsidRPr="009C62A4">
        <w:rPr>
          <w:rFonts w:ascii="Times New Roman" w:eastAsia="Times New Roman" w:hAnsi="Times New Roman" w:cs="Times New Roman"/>
          <w:color w:val="000000"/>
          <w:sz w:val="20"/>
          <w:szCs w:val="20"/>
          <w:lang w:eastAsia="ru-RU"/>
        </w:rPr>
        <w:t>Подрядчик должен вести полный и подробный учет счетов, связанных со стоимостью работы и осуществлять такой контроль, которые могут быть необходимы для надлежащего финансового менеджмента в соответствии с настоящим Договором и обосновать все затраты.</w:t>
      </w:r>
      <w:r w:rsidRPr="009C62A4">
        <w:rPr>
          <w:rFonts w:ascii="Times New Roman" w:eastAsia="Times New Roman" w:hAnsi="Times New Roman" w:cs="Times New Roman"/>
          <w:color w:val="000000"/>
          <w:sz w:val="27"/>
          <w:lang w:eastAsia="ru-RU"/>
        </w:rPr>
        <w:t> </w:t>
      </w:r>
      <w:r w:rsidRPr="009C62A4">
        <w:rPr>
          <w:rFonts w:ascii="Times New Roman" w:eastAsia="Times New Roman" w:hAnsi="Times New Roman" w:cs="Times New Roman"/>
          <w:color w:val="000000"/>
          <w:sz w:val="20"/>
          <w:szCs w:val="20"/>
          <w:lang w:eastAsia="ru-RU"/>
        </w:rPr>
        <w:t>Системы учета и контроля должно удовлетворять требованиям владельца.</w:t>
      </w:r>
      <w:r w:rsidRPr="009C62A4">
        <w:rPr>
          <w:rFonts w:ascii="Times New Roman" w:eastAsia="Times New Roman" w:hAnsi="Times New Roman" w:cs="Times New Roman"/>
          <w:color w:val="000000"/>
          <w:sz w:val="27"/>
          <w:lang w:eastAsia="ru-RU"/>
        </w:rPr>
        <w:t> </w:t>
      </w:r>
      <w:r w:rsidRPr="009C62A4">
        <w:rPr>
          <w:rFonts w:ascii="Times New Roman" w:eastAsia="Times New Roman" w:hAnsi="Times New Roman" w:cs="Times New Roman"/>
          <w:color w:val="000000"/>
          <w:sz w:val="20"/>
          <w:szCs w:val="20"/>
          <w:lang w:eastAsia="ru-RU"/>
        </w:rPr>
        <w:t> </w:t>
      </w:r>
      <w:r w:rsidRPr="009C62A4">
        <w:rPr>
          <w:rFonts w:ascii="Times New Roman" w:eastAsia="Times New Roman" w:hAnsi="Times New Roman" w:cs="Times New Roman"/>
          <w:color w:val="000000"/>
          <w:sz w:val="27"/>
          <w:lang w:eastAsia="ru-RU"/>
        </w:rPr>
        <w:t> </w:t>
      </w:r>
      <w:r w:rsidRPr="009C62A4">
        <w:rPr>
          <w:rFonts w:ascii="Times New Roman" w:eastAsia="Times New Roman" w:hAnsi="Times New Roman" w:cs="Times New Roman"/>
          <w:color w:val="000000"/>
          <w:sz w:val="20"/>
          <w:szCs w:val="20"/>
          <w:lang w:eastAsia="ru-RU"/>
        </w:rPr>
        <w:t>Владелец и аудиторов владельца должны, в рабочее время и на приемлемых условиях, предоставляться доступ и допускается к аудиту и копия, подрядчика учет и отчетность, в том числе полную документацию по учету записи, книги, переписка, инструкции, рисунки, квитанции, договоры с субподрядчиками, предложения Субподрядчика, заказы, квитанции, записки и другие данные, относящиеся к настоящему Договору.</w:t>
      </w:r>
      <w:r w:rsidRPr="009C62A4">
        <w:rPr>
          <w:rFonts w:ascii="Times New Roman" w:eastAsia="Times New Roman" w:hAnsi="Times New Roman" w:cs="Times New Roman"/>
          <w:color w:val="000000"/>
          <w:sz w:val="27"/>
          <w:lang w:eastAsia="ru-RU"/>
        </w:rPr>
        <w:t> </w:t>
      </w:r>
      <w:r w:rsidRPr="009C62A4">
        <w:rPr>
          <w:rFonts w:ascii="Times New Roman" w:eastAsia="Times New Roman" w:hAnsi="Times New Roman" w:cs="Times New Roman"/>
          <w:color w:val="000000"/>
          <w:sz w:val="20"/>
          <w:szCs w:val="20"/>
          <w:lang w:eastAsia="ru-RU"/>
        </w:rPr>
        <w:t>Подрядчик должен сохранять эти записи в течение трех лет с момента окончательного расчета, а также для более длительного периода, может быть предусмотрено законом.</w:t>
      </w:r>
      <w:r w:rsidRPr="009C62A4">
        <w:rPr>
          <w:rFonts w:ascii="Times New Roman" w:eastAsia="Times New Roman" w:hAnsi="Times New Roman" w:cs="Times New Roman"/>
          <w:color w:val="000000"/>
          <w:sz w:val="27"/>
          <w:lang w:eastAsia="ru-RU"/>
        </w:rPr>
        <w:t> </w:t>
      </w:r>
      <w:bookmarkStart w:id="1" w:name="_ftnref2"/>
      <w:bookmarkEnd w:id="1"/>
      <w:r w:rsidRPr="009C62A4">
        <w:rPr>
          <w:rFonts w:ascii="Times New Roman" w:eastAsia="Times New Roman" w:hAnsi="Times New Roman" w:cs="Times New Roman"/>
          <w:color w:val="000000"/>
          <w:sz w:val="27"/>
          <w:szCs w:val="27"/>
          <w:lang w:eastAsia="ru-RU"/>
        </w:rPr>
        <w:fldChar w:fldCharType="begin"/>
      </w:r>
      <w:r w:rsidRPr="009C62A4">
        <w:rPr>
          <w:rFonts w:ascii="Times New Roman" w:eastAsia="Times New Roman" w:hAnsi="Times New Roman" w:cs="Times New Roman"/>
          <w:color w:val="000000"/>
          <w:sz w:val="27"/>
          <w:szCs w:val="27"/>
          <w:lang w:eastAsia="ru-RU"/>
        </w:rPr>
        <w:instrText xml:space="preserve"> HYPERLINK "http://translate.googleusercontent.com/translate_f" \l "_ftn2" </w:instrText>
      </w:r>
      <w:r w:rsidRPr="009C62A4">
        <w:rPr>
          <w:rFonts w:ascii="Times New Roman" w:eastAsia="Times New Roman" w:hAnsi="Times New Roman" w:cs="Times New Roman"/>
          <w:color w:val="000000"/>
          <w:sz w:val="27"/>
          <w:szCs w:val="27"/>
          <w:lang w:eastAsia="ru-RU"/>
        </w:rPr>
        <w:fldChar w:fldCharType="separate"/>
      </w:r>
      <w:r w:rsidRPr="009C62A4">
        <w:rPr>
          <w:rFonts w:ascii="Times New Roman" w:eastAsia="Times New Roman" w:hAnsi="Times New Roman" w:cs="Times New Roman"/>
          <w:color w:val="0000FF"/>
          <w:sz w:val="27"/>
          <w:u w:val="single"/>
          <w:lang w:eastAsia="ru-RU"/>
        </w:rPr>
        <w:t>[2]</w:t>
      </w:r>
      <w:r w:rsidRPr="009C62A4">
        <w:rPr>
          <w:rFonts w:ascii="Times New Roman" w:eastAsia="Times New Roman" w:hAnsi="Times New Roman" w:cs="Times New Roman"/>
          <w:color w:val="000000"/>
          <w:sz w:val="27"/>
          <w:szCs w:val="27"/>
          <w:lang w:eastAsia="ru-RU"/>
        </w:rPr>
        <w:fldChar w:fldCharType="end"/>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 xml:space="preserve">В то время как многие контракты предоставляют владельцу проспект доступа к записям подрядчика, эти проверки редко выполняются в ходе проекта.   В самом деле, AIA нормативных документов для возмещения стоимости соглашения включают конце проекта заключительных положений оплаты, требовать представления окончательного расчета с подрядчиком, который затем рассмотрены и, возможно, спорными, его владельцем. Зачастую, любое уведомление о намерении владельца для проверки записей подрядчика в рамках проекта, скорее всего, сигнал (или воспринимается сигнал), что </w:t>
      </w:r>
      <w:r w:rsidRPr="009C62A4">
        <w:rPr>
          <w:rFonts w:ascii="Times New Roman" w:eastAsia="Times New Roman" w:hAnsi="Times New Roman" w:cs="Times New Roman"/>
          <w:color w:val="000000"/>
          <w:sz w:val="24"/>
          <w:szCs w:val="24"/>
          <w:lang w:eastAsia="ru-RU"/>
        </w:rPr>
        <w:lastRenderedPageBreak/>
        <w:t>доверие и подрывает стороны позиционируют себя защищать свои интересы в возможных претензий. Основное различие между традиционные методы контрактов и метод OBA в том, что бухгалтерский учет подрядчика постоянно открыты для электронной й владелец в попытке создания прозрачности и сотрудничества между сторонами в неконфронтационной манере. Например, в режиме реального времени производительность труда данных, включая оценку г производительности ставок и фактических показателей производительности может быть доступно в соответствии с ППР, но не является типичным ют при условии по возмещению стоимости контракта. доступ к данным реального времени дает о wner возможность внести свой ​​вклад в управление процесса принятия решений. Это совместное решение - создание обеспечить с , что владельца цели и финансовые последствия, вытекающие из средств подрядчика и методы решения совпадают. Цель OBA, чтобы позволить владельцу, и другими заинтересованными сторонами, внести свой ​​вклад в ходе проекта, а не только "читать об этом", после завершения проекта.</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Некоторые условия должны существовать для OBA, чтобы быть успешным в проекте. Во-первых, культура взаимного доверия и открытого общения должны существовать между сторонами. Создание OBA следует поощрять партнерство между сторонами. Во-вторых, система бухгалтерского учета должна быть достаточной для выполнения те или требований к процессу OBA. Кроме того, более сложный обзор / аудит процесса для монитора ING бухгалтерского учета должны быть реализованы.</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Как владелец и подрядчик может получить выгоду от внедрения открытой системы учета книг.   Следующие списки определить некоторые преимущества испытывает каждая сторона с введением такой системы.</w:t>
      </w:r>
    </w:p>
    <w:p w:rsidR="009C62A4" w:rsidRPr="009C62A4" w:rsidRDefault="009C62A4" w:rsidP="009C62A4">
      <w:pPr>
        <w:spacing w:before="100" w:after="100" w:line="401" w:lineRule="atLeast"/>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b/>
          <w:bCs/>
          <w:color w:val="000000"/>
          <w:sz w:val="24"/>
          <w:szCs w:val="24"/>
          <w:lang w:eastAsia="ru-RU"/>
        </w:rPr>
        <w:t>Привилегии владельца</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Выгоды для владельца реализации системы ППР включают следующее:</w:t>
      </w:r>
    </w:p>
    <w:p w:rsidR="009C62A4" w:rsidRPr="009C62A4" w:rsidRDefault="009C62A4" w:rsidP="009C62A4">
      <w:pPr>
        <w:spacing w:before="100" w:after="100" w:line="401" w:lineRule="atLeast"/>
        <w:ind w:left="840" w:hanging="36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1. </w:t>
      </w:r>
      <w:r w:rsidRPr="009C62A4">
        <w:rPr>
          <w:rFonts w:ascii="Times New Roman" w:eastAsia="Times New Roman" w:hAnsi="Times New Roman" w:cs="Times New Roman"/>
          <w:color w:val="000000"/>
          <w:sz w:val="14"/>
          <w:szCs w:val="14"/>
          <w:lang w:eastAsia="ru-RU"/>
        </w:rPr>
        <w:t> </w:t>
      </w:r>
      <w:r w:rsidRPr="009C62A4">
        <w:rPr>
          <w:rFonts w:ascii="Times New Roman" w:eastAsia="Times New Roman" w:hAnsi="Times New Roman" w:cs="Times New Roman"/>
          <w:color w:val="000000"/>
          <w:sz w:val="14"/>
          <w:lang w:eastAsia="ru-RU"/>
        </w:rPr>
        <w:t> </w:t>
      </w:r>
      <w:r w:rsidRPr="009C62A4">
        <w:rPr>
          <w:rFonts w:ascii="Times New Roman" w:eastAsia="Times New Roman" w:hAnsi="Times New Roman" w:cs="Times New Roman"/>
          <w:color w:val="000000"/>
          <w:sz w:val="24"/>
          <w:szCs w:val="24"/>
          <w:lang w:eastAsia="ru-RU"/>
        </w:rPr>
        <w:t>ДОСТУП К подрядчик бухгалтерских документов как правило, не предоставляется.</w:t>
      </w:r>
    </w:p>
    <w:p w:rsidR="009C62A4" w:rsidRPr="009C62A4" w:rsidRDefault="009C62A4" w:rsidP="009C62A4">
      <w:pPr>
        <w:spacing w:before="100" w:after="100" w:line="401" w:lineRule="atLeast"/>
        <w:ind w:left="840" w:hanging="36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2. </w:t>
      </w:r>
      <w:r w:rsidRPr="009C62A4">
        <w:rPr>
          <w:rFonts w:ascii="Times New Roman" w:eastAsia="Times New Roman" w:hAnsi="Times New Roman" w:cs="Times New Roman"/>
          <w:color w:val="000000"/>
          <w:sz w:val="14"/>
          <w:szCs w:val="14"/>
          <w:lang w:eastAsia="ru-RU"/>
        </w:rPr>
        <w:t> </w:t>
      </w:r>
      <w:r w:rsidRPr="009C62A4">
        <w:rPr>
          <w:rFonts w:ascii="Times New Roman" w:eastAsia="Times New Roman" w:hAnsi="Times New Roman" w:cs="Times New Roman"/>
          <w:color w:val="000000"/>
          <w:sz w:val="14"/>
          <w:lang w:eastAsia="ru-RU"/>
        </w:rPr>
        <w:t> </w:t>
      </w:r>
      <w:r w:rsidRPr="009C62A4">
        <w:rPr>
          <w:rFonts w:ascii="Times New Roman" w:eastAsia="Times New Roman" w:hAnsi="Times New Roman" w:cs="Times New Roman"/>
          <w:color w:val="000000"/>
          <w:sz w:val="24"/>
          <w:szCs w:val="24"/>
          <w:lang w:eastAsia="ru-RU"/>
        </w:rPr>
        <w:t>Раннее г etailed информации о стоимости и в режиме реального времени стоимость поддержки.</w:t>
      </w:r>
    </w:p>
    <w:p w:rsidR="009C62A4" w:rsidRPr="009C62A4" w:rsidRDefault="009C62A4" w:rsidP="009C62A4">
      <w:pPr>
        <w:spacing w:before="100" w:after="100" w:line="401" w:lineRule="atLeast"/>
        <w:ind w:left="840" w:hanging="36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3. </w:t>
      </w:r>
      <w:r w:rsidRPr="009C62A4">
        <w:rPr>
          <w:rFonts w:ascii="Times New Roman" w:eastAsia="Times New Roman" w:hAnsi="Times New Roman" w:cs="Times New Roman"/>
          <w:color w:val="000000"/>
          <w:sz w:val="14"/>
          <w:szCs w:val="14"/>
          <w:lang w:eastAsia="ru-RU"/>
        </w:rPr>
        <w:t> </w:t>
      </w:r>
      <w:r w:rsidRPr="009C62A4">
        <w:rPr>
          <w:rFonts w:ascii="Times New Roman" w:eastAsia="Times New Roman" w:hAnsi="Times New Roman" w:cs="Times New Roman"/>
          <w:color w:val="000000"/>
          <w:sz w:val="14"/>
          <w:lang w:eastAsia="ru-RU"/>
        </w:rPr>
        <w:t> </w:t>
      </w:r>
      <w:r w:rsidRPr="009C62A4">
        <w:rPr>
          <w:rFonts w:ascii="Times New Roman" w:eastAsia="Times New Roman" w:hAnsi="Times New Roman" w:cs="Times New Roman"/>
          <w:color w:val="000000"/>
          <w:sz w:val="24"/>
          <w:szCs w:val="24"/>
          <w:lang w:eastAsia="ru-RU"/>
        </w:rPr>
        <w:t>Раннее обнаружение стоимости onsistencies вкл или потенциальных отходов.</w:t>
      </w:r>
    </w:p>
    <w:p w:rsidR="009C62A4" w:rsidRPr="009C62A4" w:rsidRDefault="009C62A4" w:rsidP="009C62A4">
      <w:pPr>
        <w:spacing w:before="100" w:after="100" w:line="401" w:lineRule="atLeast"/>
        <w:ind w:left="840" w:hanging="36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4. </w:t>
      </w:r>
      <w:r w:rsidRPr="009C62A4">
        <w:rPr>
          <w:rFonts w:ascii="Times New Roman" w:eastAsia="Times New Roman" w:hAnsi="Times New Roman" w:cs="Times New Roman"/>
          <w:color w:val="000000"/>
          <w:sz w:val="14"/>
          <w:szCs w:val="14"/>
          <w:lang w:eastAsia="ru-RU"/>
        </w:rPr>
        <w:t> </w:t>
      </w:r>
      <w:r w:rsidRPr="009C62A4">
        <w:rPr>
          <w:rFonts w:ascii="Times New Roman" w:eastAsia="Times New Roman" w:hAnsi="Times New Roman" w:cs="Times New Roman"/>
          <w:color w:val="000000"/>
          <w:sz w:val="14"/>
          <w:lang w:eastAsia="ru-RU"/>
        </w:rPr>
        <w:t> </w:t>
      </w:r>
      <w:r w:rsidRPr="009C62A4">
        <w:rPr>
          <w:rFonts w:ascii="Times New Roman" w:eastAsia="Times New Roman" w:hAnsi="Times New Roman" w:cs="Times New Roman"/>
          <w:color w:val="000000"/>
          <w:sz w:val="24"/>
          <w:szCs w:val="24"/>
          <w:lang w:eastAsia="ru-RU"/>
        </w:rPr>
        <w:t>Возможности для владельца помощь / бай-ин на подрядчика оперативных решений.</w:t>
      </w:r>
    </w:p>
    <w:p w:rsidR="009C62A4" w:rsidRPr="009C62A4" w:rsidRDefault="009C62A4" w:rsidP="009C62A4">
      <w:pPr>
        <w:spacing w:before="100" w:after="100" w:line="401" w:lineRule="atLeast"/>
        <w:ind w:left="840" w:hanging="36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5. </w:t>
      </w:r>
      <w:r w:rsidRPr="009C62A4">
        <w:rPr>
          <w:rFonts w:ascii="Times New Roman" w:eastAsia="Times New Roman" w:hAnsi="Times New Roman" w:cs="Times New Roman"/>
          <w:color w:val="000000"/>
          <w:sz w:val="14"/>
          <w:szCs w:val="14"/>
          <w:lang w:eastAsia="ru-RU"/>
        </w:rPr>
        <w:t> </w:t>
      </w:r>
      <w:r w:rsidRPr="009C62A4">
        <w:rPr>
          <w:rFonts w:ascii="Times New Roman" w:eastAsia="Times New Roman" w:hAnsi="Times New Roman" w:cs="Times New Roman"/>
          <w:color w:val="000000"/>
          <w:sz w:val="14"/>
          <w:lang w:eastAsia="ru-RU"/>
        </w:rPr>
        <w:t> </w:t>
      </w:r>
      <w:r w:rsidRPr="009C62A4">
        <w:rPr>
          <w:rFonts w:ascii="Times New Roman" w:eastAsia="Times New Roman" w:hAnsi="Times New Roman" w:cs="Times New Roman"/>
          <w:color w:val="000000"/>
          <w:sz w:val="24"/>
          <w:szCs w:val="24"/>
          <w:lang w:eastAsia="ru-RU"/>
        </w:rPr>
        <w:t>Своевременное урегулирование спорных пунктов.</w:t>
      </w:r>
    </w:p>
    <w:p w:rsidR="009C62A4" w:rsidRPr="009C62A4" w:rsidRDefault="009C62A4" w:rsidP="009C62A4">
      <w:pPr>
        <w:spacing w:before="100" w:after="100" w:line="401" w:lineRule="atLeast"/>
        <w:ind w:left="840" w:hanging="36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lastRenderedPageBreak/>
        <w:t>6. </w:t>
      </w:r>
      <w:r w:rsidRPr="009C62A4">
        <w:rPr>
          <w:rFonts w:ascii="Times New Roman" w:eastAsia="Times New Roman" w:hAnsi="Times New Roman" w:cs="Times New Roman"/>
          <w:color w:val="000000"/>
          <w:sz w:val="14"/>
          <w:szCs w:val="14"/>
          <w:lang w:eastAsia="ru-RU"/>
        </w:rPr>
        <w:t> </w:t>
      </w:r>
      <w:r w:rsidRPr="009C62A4">
        <w:rPr>
          <w:rFonts w:ascii="Times New Roman" w:eastAsia="Times New Roman" w:hAnsi="Times New Roman" w:cs="Times New Roman"/>
          <w:color w:val="000000"/>
          <w:sz w:val="14"/>
          <w:lang w:eastAsia="ru-RU"/>
        </w:rPr>
        <w:t> </w:t>
      </w:r>
      <w:r w:rsidRPr="009C62A4">
        <w:rPr>
          <w:rFonts w:ascii="Times New Roman" w:eastAsia="Times New Roman" w:hAnsi="Times New Roman" w:cs="Times New Roman"/>
          <w:color w:val="000000"/>
          <w:sz w:val="24"/>
          <w:szCs w:val="24"/>
          <w:lang w:eastAsia="ru-RU"/>
        </w:rPr>
        <w:t>Сокращение расходы В curred для выполнения после-то, судебно-медицинской экспертизы, которые могли бы потребоваться в конце проекта.</w:t>
      </w:r>
    </w:p>
    <w:p w:rsidR="009C62A4" w:rsidRPr="009C62A4" w:rsidRDefault="009C62A4" w:rsidP="009C62A4">
      <w:pPr>
        <w:spacing w:before="100" w:after="100" w:line="401" w:lineRule="atLeast"/>
        <w:ind w:left="840" w:hanging="36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7. </w:t>
      </w:r>
      <w:r w:rsidRPr="009C62A4">
        <w:rPr>
          <w:rFonts w:ascii="Times New Roman" w:eastAsia="Times New Roman" w:hAnsi="Times New Roman" w:cs="Times New Roman"/>
          <w:color w:val="000000"/>
          <w:sz w:val="14"/>
          <w:szCs w:val="14"/>
          <w:lang w:eastAsia="ru-RU"/>
        </w:rPr>
        <w:t> </w:t>
      </w:r>
      <w:r w:rsidRPr="009C62A4">
        <w:rPr>
          <w:rFonts w:ascii="Times New Roman" w:eastAsia="Times New Roman" w:hAnsi="Times New Roman" w:cs="Times New Roman"/>
          <w:color w:val="000000"/>
          <w:sz w:val="14"/>
          <w:lang w:eastAsia="ru-RU"/>
        </w:rPr>
        <w:t> </w:t>
      </w:r>
      <w:r w:rsidRPr="009C62A4">
        <w:rPr>
          <w:rFonts w:ascii="Times New Roman" w:eastAsia="Times New Roman" w:hAnsi="Times New Roman" w:cs="Times New Roman"/>
          <w:color w:val="000000"/>
          <w:sz w:val="24"/>
          <w:szCs w:val="24"/>
          <w:lang w:eastAsia="ru-RU"/>
        </w:rPr>
        <w:t>Управление спорные расходы до платежей, а не после оплаты.</w:t>
      </w:r>
    </w:p>
    <w:p w:rsidR="009C62A4" w:rsidRPr="009C62A4" w:rsidRDefault="009C62A4" w:rsidP="009C62A4">
      <w:pPr>
        <w:spacing w:before="100" w:after="100" w:line="401" w:lineRule="atLeast"/>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b/>
          <w:bCs/>
          <w:color w:val="000000"/>
          <w:sz w:val="24"/>
          <w:szCs w:val="24"/>
          <w:lang w:eastAsia="ru-RU"/>
        </w:rPr>
        <w:t>Подрядчик Преимущества</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Выгоды для подрядчика реализации системы ППР включают следующее:</w:t>
      </w:r>
    </w:p>
    <w:p w:rsidR="009C62A4" w:rsidRPr="009C62A4" w:rsidRDefault="009C62A4" w:rsidP="009C62A4">
      <w:pPr>
        <w:spacing w:before="100" w:after="100" w:line="401" w:lineRule="atLeast"/>
        <w:ind w:left="835" w:hanging="36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1. </w:t>
      </w:r>
      <w:r w:rsidRPr="009C62A4">
        <w:rPr>
          <w:rFonts w:ascii="Times New Roman" w:eastAsia="Times New Roman" w:hAnsi="Times New Roman" w:cs="Times New Roman"/>
          <w:color w:val="000000"/>
          <w:sz w:val="14"/>
          <w:szCs w:val="14"/>
          <w:lang w:eastAsia="ru-RU"/>
        </w:rPr>
        <w:t>  </w:t>
      </w:r>
      <w:r w:rsidRPr="009C62A4">
        <w:rPr>
          <w:rFonts w:ascii="Times New Roman" w:eastAsia="Times New Roman" w:hAnsi="Times New Roman" w:cs="Times New Roman"/>
          <w:color w:val="000000"/>
          <w:sz w:val="14"/>
          <w:lang w:eastAsia="ru-RU"/>
        </w:rPr>
        <w:t> </w:t>
      </w:r>
      <w:r w:rsidRPr="009C62A4">
        <w:rPr>
          <w:rFonts w:ascii="Times New Roman" w:eastAsia="Times New Roman" w:hAnsi="Times New Roman" w:cs="Times New Roman"/>
          <w:color w:val="000000"/>
          <w:sz w:val="24"/>
          <w:szCs w:val="24"/>
          <w:lang w:eastAsia="ru-RU"/>
        </w:rPr>
        <w:t>С ост сбережения идеями и стратегиями с другими партиями, которые могли бы остаться незамеченными.</w:t>
      </w:r>
    </w:p>
    <w:p w:rsidR="009C62A4" w:rsidRPr="009C62A4" w:rsidRDefault="009C62A4" w:rsidP="009C62A4">
      <w:pPr>
        <w:spacing w:before="100" w:after="100" w:line="401" w:lineRule="atLeast"/>
        <w:ind w:left="835" w:hanging="36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2. </w:t>
      </w:r>
      <w:r w:rsidRPr="009C62A4">
        <w:rPr>
          <w:rFonts w:ascii="Times New Roman" w:eastAsia="Times New Roman" w:hAnsi="Times New Roman" w:cs="Times New Roman"/>
          <w:color w:val="000000"/>
          <w:sz w:val="14"/>
          <w:szCs w:val="14"/>
          <w:lang w:eastAsia="ru-RU"/>
        </w:rPr>
        <w:t>  </w:t>
      </w:r>
      <w:r w:rsidRPr="009C62A4">
        <w:rPr>
          <w:rFonts w:ascii="Times New Roman" w:eastAsia="Times New Roman" w:hAnsi="Times New Roman" w:cs="Times New Roman"/>
          <w:color w:val="000000"/>
          <w:sz w:val="14"/>
          <w:lang w:eastAsia="ru-RU"/>
        </w:rPr>
        <w:t> </w:t>
      </w:r>
      <w:r w:rsidRPr="009C62A4">
        <w:rPr>
          <w:rFonts w:ascii="Times New Roman" w:eastAsia="Times New Roman" w:hAnsi="Times New Roman" w:cs="Times New Roman"/>
          <w:color w:val="000000"/>
          <w:sz w:val="24"/>
          <w:szCs w:val="24"/>
          <w:lang w:eastAsia="ru-RU"/>
        </w:rPr>
        <w:t>Возможные limination электронной любого конца проекта аудита требований (как процесс OBA может считаться заменой такого конца проекта аудита ответственности).</w:t>
      </w:r>
    </w:p>
    <w:p w:rsidR="009C62A4" w:rsidRPr="009C62A4" w:rsidRDefault="009C62A4" w:rsidP="009C62A4">
      <w:pPr>
        <w:spacing w:before="100" w:after="100" w:line="401" w:lineRule="atLeast"/>
        <w:ind w:left="835" w:hanging="36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3. </w:t>
      </w:r>
      <w:r w:rsidRPr="009C62A4">
        <w:rPr>
          <w:rFonts w:ascii="Times New Roman" w:eastAsia="Times New Roman" w:hAnsi="Times New Roman" w:cs="Times New Roman"/>
          <w:color w:val="000000"/>
          <w:sz w:val="14"/>
          <w:szCs w:val="14"/>
          <w:lang w:eastAsia="ru-RU"/>
        </w:rPr>
        <w:t>  </w:t>
      </w:r>
      <w:r w:rsidRPr="009C62A4">
        <w:rPr>
          <w:rFonts w:ascii="Times New Roman" w:eastAsia="Times New Roman" w:hAnsi="Times New Roman" w:cs="Times New Roman"/>
          <w:color w:val="000000"/>
          <w:sz w:val="14"/>
          <w:lang w:eastAsia="ru-RU"/>
        </w:rPr>
        <w:t> </w:t>
      </w:r>
      <w:r w:rsidRPr="009C62A4">
        <w:rPr>
          <w:rFonts w:ascii="Times New Roman" w:eastAsia="Times New Roman" w:hAnsi="Times New Roman" w:cs="Times New Roman"/>
          <w:color w:val="000000"/>
          <w:sz w:val="24"/>
          <w:szCs w:val="24"/>
          <w:lang w:eastAsia="ru-RU"/>
        </w:rPr>
        <w:t>Своевременное урегулирование спорных пунктов.</w:t>
      </w:r>
    </w:p>
    <w:p w:rsidR="009C62A4" w:rsidRPr="009C62A4" w:rsidRDefault="009C62A4" w:rsidP="009C62A4">
      <w:pPr>
        <w:spacing w:before="100" w:after="100" w:line="401" w:lineRule="atLeast"/>
        <w:ind w:left="835" w:hanging="36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4. </w:t>
      </w:r>
      <w:r w:rsidRPr="009C62A4">
        <w:rPr>
          <w:rFonts w:ascii="Times New Roman" w:eastAsia="Times New Roman" w:hAnsi="Times New Roman" w:cs="Times New Roman"/>
          <w:color w:val="000000"/>
          <w:sz w:val="14"/>
          <w:szCs w:val="14"/>
          <w:lang w:eastAsia="ru-RU"/>
        </w:rPr>
        <w:t>  </w:t>
      </w:r>
      <w:r w:rsidRPr="009C62A4">
        <w:rPr>
          <w:rFonts w:ascii="Times New Roman" w:eastAsia="Times New Roman" w:hAnsi="Times New Roman" w:cs="Times New Roman"/>
          <w:color w:val="000000"/>
          <w:sz w:val="14"/>
          <w:lang w:eastAsia="ru-RU"/>
        </w:rPr>
        <w:t> </w:t>
      </w:r>
      <w:r w:rsidRPr="009C62A4">
        <w:rPr>
          <w:rFonts w:ascii="Times New Roman" w:eastAsia="Times New Roman" w:hAnsi="Times New Roman" w:cs="Times New Roman"/>
          <w:color w:val="000000"/>
          <w:sz w:val="24"/>
          <w:szCs w:val="24"/>
          <w:lang w:eastAsia="ru-RU"/>
        </w:rPr>
        <w:t>Раннее участие владельца в принятии решений, экономии затрат.</w:t>
      </w:r>
    </w:p>
    <w:p w:rsidR="009C62A4" w:rsidRPr="009C62A4" w:rsidRDefault="009C62A4" w:rsidP="009C62A4">
      <w:pPr>
        <w:spacing w:before="100" w:after="100" w:line="401" w:lineRule="atLeast"/>
        <w:ind w:left="835" w:hanging="36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5. </w:t>
      </w:r>
      <w:r w:rsidRPr="009C62A4">
        <w:rPr>
          <w:rFonts w:ascii="Times New Roman" w:eastAsia="Times New Roman" w:hAnsi="Times New Roman" w:cs="Times New Roman"/>
          <w:color w:val="000000"/>
          <w:sz w:val="14"/>
          <w:szCs w:val="14"/>
          <w:lang w:eastAsia="ru-RU"/>
        </w:rPr>
        <w:t>  </w:t>
      </w:r>
      <w:r w:rsidRPr="009C62A4">
        <w:rPr>
          <w:rFonts w:ascii="Times New Roman" w:eastAsia="Times New Roman" w:hAnsi="Times New Roman" w:cs="Times New Roman"/>
          <w:color w:val="000000"/>
          <w:sz w:val="14"/>
          <w:lang w:eastAsia="ru-RU"/>
        </w:rPr>
        <w:t> </w:t>
      </w:r>
      <w:r w:rsidRPr="009C62A4">
        <w:rPr>
          <w:rFonts w:ascii="Times New Roman" w:eastAsia="Times New Roman" w:hAnsi="Times New Roman" w:cs="Times New Roman"/>
          <w:color w:val="000000"/>
          <w:sz w:val="24"/>
          <w:szCs w:val="24"/>
          <w:lang w:eastAsia="ru-RU"/>
        </w:rPr>
        <w:t>Содействие / партнерство в трудных решений, касающихся субподрядчиков (в том числе по умолчанию, приостановления, прекращения, ускорения повторного последовательность, объем решений и компенсации изменений порядка).</w:t>
      </w:r>
    </w:p>
    <w:p w:rsidR="009C62A4" w:rsidRPr="009C62A4" w:rsidRDefault="009C62A4" w:rsidP="009C62A4">
      <w:pPr>
        <w:spacing w:before="100" w:after="100" w:line="401" w:lineRule="atLeast"/>
        <w:ind w:left="835" w:hanging="36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6. </w:t>
      </w:r>
      <w:r w:rsidRPr="009C62A4">
        <w:rPr>
          <w:rFonts w:ascii="Times New Roman" w:eastAsia="Times New Roman" w:hAnsi="Times New Roman" w:cs="Times New Roman"/>
          <w:color w:val="000000"/>
          <w:sz w:val="14"/>
          <w:szCs w:val="14"/>
          <w:lang w:eastAsia="ru-RU"/>
        </w:rPr>
        <w:t>  </w:t>
      </w:r>
      <w:r w:rsidRPr="009C62A4">
        <w:rPr>
          <w:rFonts w:ascii="Times New Roman" w:eastAsia="Times New Roman" w:hAnsi="Times New Roman" w:cs="Times New Roman"/>
          <w:color w:val="000000"/>
          <w:sz w:val="14"/>
          <w:lang w:eastAsia="ru-RU"/>
        </w:rPr>
        <w:t> </w:t>
      </w:r>
      <w:r w:rsidRPr="009C62A4">
        <w:rPr>
          <w:rFonts w:ascii="Times New Roman" w:eastAsia="Times New Roman" w:hAnsi="Times New Roman" w:cs="Times New Roman"/>
          <w:color w:val="000000"/>
          <w:sz w:val="24"/>
          <w:szCs w:val="24"/>
          <w:lang w:eastAsia="ru-RU"/>
        </w:rPr>
        <w:t>Понимание владелец стимулы / мотивацию.</w:t>
      </w:r>
    </w:p>
    <w:p w:rsidR="009C62A4" w:rsidRPr="009C62A4" w:rsidRDefault="009C62A4" w:rsidP="009C62A4">
      <w:pPr>
        <w:spacing w:before="100" w:after="100" w:line="401" w:lineRule="atLeast"/>
        <w:ind w:left="835" w:hanging="36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7. </w:t>
      </w:r>
      <w:r w:rsidRPr="009C62A4">
        <w:rPr>
          <w:rFonts w:ascii="Times New Roman" w:eastAsia="Times New Roman" w:hAnsi="Times New Roman" w:cs="Times New Roman"/>
          <w:color w:val="000000"/>
          <w:sz w:val="14"/>
          <w:szCs w:val="14"/>
          <w:lang w:eastAsia="ru-RU"/>
        </w:rPr>
        <w:t>  </w:t>
      </w:r>
      <w:r w:rsidRPr="009C62A4">
        <w:rPr>
          <w:rFonts w:ascii="Times New Roman" w:eastAsia="Times New Roman" w:hAnsi="Times New Roman" w:cs="Times New Roman"/>
          <w:color w:val="000000"/>
          <w:sz w:val="14"/>
          <w:lang w:eastAsia="ru-RU"/>
        </w:rPr>
        <w:t> </w:t>
      </w:r>
      <w:r w:rsidRPr="009C62A4">
        <w:rPr>
          <w:rFonts w:ascii="Times New Roman" w:eastAsia="Times New Roman" w:hAnsi="Times New Roman" w:cs="Times New Roman"/>
          <w:color w:val="000000"/>
          <w:sz w:val="24"/>
          <w:szCs w:val="24"/>
          <w:lang w:eastAsia="ru-RU"/>
        </w:rPr>
        <w:t>Возможные наравне с архитектором и другими специалистами дизайн в глазах владельца.</w:t>
      </w:r>
    </w:p>
    <w:p w:rsidR="009C62A4" w:rsidRPr="009C62A4" w:rsidRDefault="009C62A4" w:rsidP="009C62A4">
      <w:pPr>
        <w:spacing w:before="100" w:after="100" w:line="401" w:lineRule="atLeast"/>
        <w:ind w:left="835" w:hanging="36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8. </w:t>
      </w:r>
      <w:r w:rsidRPr="009C62A4">
        <w:rPr>
          <w:rFonts w:ascii="Times New Roman" w:eastAsia="Times New Roman" w:hAnsi="Times New Roman" w:cs="Times New Roman"/>
          <w:color w:val="000000"/>
          <w:sz w:val="14"/>
          <w:szCs w:val="14"/>
          <w:lang w:eastAsia="ru-RU"/>
        </w:rPr>
        <w:t>  </w:t>
      </w:r>
      <w:r w:rsidRPr="009C62A4">
        <w:rPr>
          <w:rFonts w:ascii="Times New Roman" w:eastAsia="Times New Roman" w:hAnsi="Times New Roman" w:cs="Times New Roman"/>
          <w:color w:val="000000"/>
          <w:sz w:val="14"/>
          <w:lang w:eastAsia="ru-RU"/>
        </w:rPr>
        <w:t> </w:t>
      </w:r>
      <w:r w:rsidRPr="009C62A4">
        <w:rPr>
          <w:rFonts w:ascii="Times New Roman" w:eastAsia="Times New Roman" w:hAnsi="Times New Roman" w:cs="Times New Roman"/>
          <w:color w:val="000000"/>
          <w:sz w:val="24"/>
          <w:szCs w:val="24"/>
          <w:lang w:eastAsia="ru-RU"/>
        </w:rPr>
        <w:t>Ликвидация / сокращение споров, касающихся ускорения / производительность, так как претензии владельца могут быть вовлечены в принятие ключевых решений по управлению проектами, как у произойти.</w:t>
      </w:r>
    </w:p>
    <w:p w:rsidR="009C62A4" w:rsidRPr="009C62A4" w:rsidRDefault="009C62A4" w:rsidP="009C62A4">
      <w:pPr>
        <w:spacing w:before="100" w:after="100" w:line="401" w:lineRule="atLeast"/>
        <w:ind w:left="835" w:hanging="36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9. </w:t>
      </w:r>
      <w:r w:rsidRPr="009C62A4">
        <w:rPr>
          <w:rFonts w:ascii="Times New Roman" w:eastAsia="Times New Roman" w:hAnsi="Times New Roman" w:cs="Times New Roman"/>
          <w:color w:val="000000"/>
          <w:sz w:val="14"/>
          <w:szCs w:val="14"/>
          <w:lang w:eastAsia="ru-RU"/>
        </w:rPr>
        <w:t>  </w:t>
      </w:r>
      <w:r w:rsidRPr="009C62A4">
        <w:rPr>
          <w:rFonts w:ascii="Times New Roman" w:eastAsia="Times New Roman" w:hAnsi="Times New Roman" w:cs="Times New Roman"/>
          <w:color w:val="000000"/>
          <w:sz w:val="14"/>
          <w:lang w:eastAsia="ru-RU"/>
        </w:rPr>
        <w:t> </w:t>
      </w:r>
      <w:r w:rsidRPr="009C62A4">
        <w:rPr>
          <w:rFonts w:ascii="Times New Roman" w:eastAsia="Times New Roman" w:hAnsi="Times New Roman" w:cs="Times New Roman"/>
          <w:color w:val="000000"/>
          <w:sz w:val="24"/>
          <w:szCs w:val="24"/>
          <w:lang w:eastAsia="ru-RU"/>
        </w:rPr>
        <w:t>Избежание расходов, понесенных в после-то, судебно-медицинской экспертизы, которые могли бы потребоваться в конце проекта.</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Очевидно, что существуют преимущества для обеих сторон. Успех петли OBA системы на справедливое и честное выполнение, уделяя особое внимание стоит документации и мониторинга. Любые соображения архитектора и другие профессиональные дизайн участие в OBA рамки не рассматриваются в этой статье.</w:t>
      </w:r>
    </w:p>
    <w:p w:rsidR="009C62A4" w:rsidRPr="009C62A4" w:rsidRDefault="009C62A4" w:rsidP="009C62A4">
      <w:pPr>
        <w:spacing w:before="100" w:after="100" w:line="401" w:lineRule="atLeast"/>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b/>
          <w:bCs/>
          <w:color w:val="000000"/>
          <w:sz w:val="24"/>
          <w:szCs w:val="24"/>
          <w:lang w:eastAsia="ru-RU"/>
        </w:rPr>
        <w:t>Типы проектов, способствовавших OBA</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 xml:space="preserve">В традиционных системах доставки проект, владелец имеет некоторое участие в минимизации издержек, связанных с владельцем выбор отделки из, вопросы качества и эффективности элементов. Это типичный выбор владельца и решений правило, заканчивались после завершения разработки чертежей (выдается на сопзЬ свалка), а </w:t>
      </w:r>
      <w:r w:rsidRPr="009C62A4">
        <w:rPr>
          <w:rFonts w:ascii="Times New Roman" w:eastAsia="Times New Roman" w:hAnsi="Times New Roman" w:cs="Times New Roman"/>
          <w:color w:val="000000"/>
          <w:sz w:val="24"/>
          <w:szCs w:val="24"/>
          <w:lang w:eastAsia="ru-RU"/>
        </w:rPr>
        <w:lastRenderedPageBreak/>
        <w:t>иногда и следовать процессу оптимизации стоимости. После чертежи выдаются и оптимизации стоимости исчерпан, подрядчик несет ответственность за минимизацию издержек за счет эффективного планирования, планирования и закупок по проекту. T он подрядчик часто вступать в договоры купли-продажи и единовременное субподряда для достижения этой цели. После первоначальной закупки и субподряда фазы, единственный оставшийся переменные затраты могут быть общие условия подрядчика и возможных изменений в сфере труда. Таким образом, при традиционной системе доставки, в точке подрядчика выкуп за рамки завершения мало места остается для любой экономии затрат, так как большинство работ устанавливается в единовременной субподряда. Открытая книга учета, после этого начального закупок и субподрядных фазы, реально только обеспечивает владельцу зрения о том, как подрядчик управляет общим условиям и, возможно, его распоряжения изменения. T он OBA процесс имеет потенциал, чтобы быть более полезным, чем просто монитор общих условий подрядчика.</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Не удивительно, что использование O BA в первую очередь приносит пользу крупных проектов в соответствии с которой большинство элементов осуществляется на возмездной основе стоимости, скорее всего, с гарантированной максимальной цены (GMP) положения. Типы проектов, которые поддаются открытый подход учета книг по управлению проектами стоимостью крупные промышленные и коммерческие проекты, которые не полностью разработаны и требуют выхода на рынок подход к проекту. Промышленной изменения, связанные с передовой продукции или изменения в товар Цены влияние владельцев подходы к строительным проектам, и часто требуют ускоренного начало const, гвалт до завершения или завершения проекта. В случае, когда проект график вождения и проектные решения принимаются одновременно со строительством, OBA может предоставить владельцу реального времени понимание строительные решения, которые повлияют на общую стоимость проекта. Полностью функционирующий OBA процесс может способствовать реальное управление экономии времени и затрат предложения. Далее, в результате чего в нескольких законных сторон процесса OBA и обеспечение надлежащих стимулов могут создать совместную атмосферу, в отличие от состязательного который часто встречается в типичных методов разработки проектов.</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 xml:space="preserve">Эффективное использование OBA часто требует генерального подрядчика, который самостоятельно выполняет значительную часть проекта. В случае, если большая часть работ субподрядной, OBA положения должны быть включены в основных субподрядчиков, которые также должны быть экономически возмещению соглашений. В противном случае, SA большую часть проекта субподряда при единовременной меры </w:t>
      </w:r>
      <w:r w:rsidRPr="009C62A4">
        <w:rPr>
          <w:rFonts w:ascii="Times New Roman" w:eastAsia="Times New Roman" w:hAnsi="Times New Roman" w:cs="Times New Roman"/>
          <w:color w:val="000000"/>
          <w:sz w:val="24"/>
          <w:szCs w:val="24"/>
          <w:lang w:eastAsia="ru-RU"/>
        </w:rPr>
        <w:lastRenderedPageBreak/>
        <w:t>сумма, меньшая часть работы по праву считается возмещения расходов. Единовременно или контрактов с фиксированной ценой не разделяют возможность сокращения расходов на владельца, если подрядчик повышает его ожидаемой эффективности. В стоимость возмещаемых договоренности, лишь небольшие объемы работ должны быть заключен как единовременно, позволяет в рамках OBA для достижения максимальной эффективности и достижения.</w:t>
      </w:r>
    </w:p>
    <w:p w:rsidR="009C62A4" w:rsidRPr="009C62A4" w:rsidRDefault="009C62A4" w:rsidP="009C62A4">
      <w:pPr>
        <w:spacing w:before="100" w:after="100" w:line="401" w:lineRule="atLeast"/>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b/>
          <w:bCs/>
          <w:color w:val="000000"/>
          <w:sz w:val="24"/>
          <w:szCs w:val="24"/>
          <w:lang w:eastAsia="ru-RU"/>
        </w:rPr>
        <w:t>Выравнивание стимулы участников OBA</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ОБА не предназначено, чтобы дать владельцу проект авторитарного контроля на средства подрядчика и методы управления и строительства. Любая такая точка зрения может привести к восприниматься недостатки подрядчик. Во-первых, подрядчик может быть обеспокоены вход владельца в к средствам и методам его работы. О wner стоит экономить предложения, касающиеся использования оборудования, последовательность действий, планирование, исполнение и субподрядчик не может быть также получены подрядчиком. Например, некоторые предложения владельца может помешать цели подрядчика и процедур, касающихся безопасности, д uality и тестирование частоты. L imited тестирования частота может быть вредным предложение экономии средств, что привело к качеству недостатков. Другие предложения владельца может помешать поставки подрядчика и обеспечение надзора контроля и управления. Владелец предложения ведущих к снижению безопасности работников или увеличения опасности для окружающей среды или в прилегающих районах, в конечном итоге может привести к увеличению расходов, репутация проблемы, OSHA проблемы, или еще хуже результаты. И, наконец, всеобъемлющим, предложения, которые приводят к снижению прибыли, или за вознаграждение, для подрядчика снизит вероятность того, что подрядчик участвует в расположение OBA.</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 xml:space="preserve">ОБА имеет наибольшую возможность добиться успеха, когда с участниками интерес выровнены, чтобы минимизировать общие затраты на проект (или, чтобы получить работу завершить в кратчайшие сроки), и, возможно, участвовать в любой экономии или перерасхода средств. Ограничения должны быть размещены на способность владельца на микроуровне подрядчика средств и методов и использования подрядчиком общих элементов условий, таких как управление и контроль. Цель расположения OBA является предоставление в режиме реального времени, прозрачной обратной связи, по проекту, что позволяет с Arties для совместной работы над решениями, которые существенно влияют на стоимость проекта. Подрядчик должен еще быть в состоянии поддерживать определенную степень автономии в отношении повседневных оперативных решений в отношении мелких предметов стоимостью. В целом, подрядчик должен быть </w:t>
      </w:r>
      <w:r w:rsidRPr="009C62A4">
        <w:rPr>
          <w:rFonts w:ascii="Times New Roman" w:eastAsia="Times New Roman" w:hAnsi="Times New Roman" w:cs="Times New Roman"/>
          <w:color w:val="000000"/>
          <w:sz w:val="24"/>
          <w:szCs w:val="24"/>
          <w:lang w:eastAsia="ru-RU"/>
        </w:rPr>
        <w:lastRenderedPageBreak/>
        <w:t>уверен, что его интересы совпадают с интересами с проекта в целом. Стороны должны совместно работать над созданием и развивать преимущества, и свести к минимуму неудобства для обеих организаций.Несколько контракт на поставку техники, которые помогают выровнять эти интересы с обсуждены в следующем разделе.</w:t>
      </w:r>
    </w:p>
    <w:p w:rsidR="009C62A4" w:rsidRPr="009C62A4" w:rsidRDefault="009C62A4" w:rsidP="009C62A4">
      <w:pPr>
        <w:spacing w:before="100" w:after="100" w:line="401" w:lineRule="atLeast"/>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b/>
          <w:bCs/>
          <w:color w:val="000000"/>
          <w:sz w:val="24"/>
          <w:szCs w:val="24"/>
          <w:lang w:eastAsia="ru-RU"/>
        </w:rPr>
        <w:t>Проект системы доставки и специальной совместной соображения композиция</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OBA может быть реализовано с любой системой доставки проекта, но стало тесно связаны с, а на самом деле должна быть необходимой чертой, новых совместных договоров поставки, о которых говорится в общем в Соединенных Штатах, как интегрированный проект доставки (IPD). В зависимости от комментаторов, эти контракты иногда называют "Alliancing", "Партнерство", или "Целевая цена" контрактов. Несмотря на множество изменений, все они имеют общие черты совместного принятия решений и стимулов для проведения в жизнь интересов проекта впереди индивидуальных интересов. В дополнение к бухгалтерскому учету и стоимость принципы, обсуждаемые здесь, эти контракты как правило, предусматривают взаимный отказ от большинство или все претензии между сторонами. </w:t>
      </w:r>
      <w:bookmarkStart w:id="2" w:name="_ftnref3"/>
      <w:bookmarkEnd w:id="2"/>
      <w:r w:rsidRPr="009C62A4">
        <w:rPr>
          <w:rFonts w:ascii="Times New Roman" w:eastAsia="Times New Roman" w:hAnsi="Times New Roman" w:cs="Times New Roman"/>
          <w:color w:val="000000"/>
          <w:sz w:val="24"/>
          <w:szCs w:val="24"/>
          <w:lang w:eastAsia="ru-RU"/>
        </w:rPr>
        <w:fldChar w:fldCharType="begin"/>
      </w:r>
      <w:r w:rsidRPr="009C62A4">
        <w:rPr>
          <w:rFonts w:ascii="Times New Roman" w:eastAsia="Times New Roman" w:hAnsi="Times New Roman" w:cs="Times New Roman"/>
          <w:color w:val="000000"/>
          <w:sz w:val="24"/>
          <w:szCs w:val="24"/>
          <w:lang w:eastAsia="ru-RU"/>
        </w:rPr>
        <w:instrText xml:space="preserve"> HYPERLINK "http://translate.googleusercontent.com/translate_f" \l "_ftn3" </w:instrText>
      </w:r>
      <w:r w:rsidRPr="009C62A4">
        <w:rPr>
          <w:rFonts w:ascii="Times New Roman" w:eastAsia="Times New Roman" w:hAnsi="Times New Roman" w:cs="Times New Roman"/>
          <w:color w:val="000000"/>
          <w:sz w:val="24"/>
          <w:szCs w:val="24"/>
          <w:lang w:eastAsia="ru-RU"/>
        </w:rPr>
        <w:fldChar w:fldCharType="separate"/>
      </w:r>
      <w:r w:rsidRPr="009C62A4">
        <w:rPr>
          <w:rFonts w:ascii="Times New Roman" w:eastAsia="Times New Roman" w:hAnsi="Times New Roman" w:cs="Times New Roman"/>
          <w:color w:val="0000FF"/>
          <w:sz w:val="24"/>
          <w:szCs w:val="24"/>
          <w:u w:val="single"/>
          <w:lang w:eastAsia="ru-RU"/>
        </w:rPr>
        <w:t>[3]</w:t>
      </w:r>
      <w:r w:rsidRPr="009C62A4">
        <w:rPr>
          <w:rFonts w:ascii="Times New Roman" w:eastAsia="Times New Roman" w:hAnsi="Times New Roman" w:cs="Times New Roman"/>
          <w:color w:val="000000"/>
          <w:sz w:val="24"/>
          <w:szCs w:val="24"/>
          <w:lang w:eastAsia="ru-RU"/>
        </w:rPr>
        <w:fldChar w:fldCharType="end"/>
      </w:r>
      <w:r w:rsidRPr="009C62A4">
        <w:rPr>
          <w:rFonts w:ascii="Times New Roman" w:eastAsia="Times New Roman" w:hAnsi="Times New Roman" w:cs="Times New Roman"/>
          <w:color w:val="000000"/>
          <w:sz w:val="24"/>
          <w:szCs w:val="24"/>
          <w:lang w:eastAsia="ru-RU"/>
        </w:rPr>
        <w:t> Мы остановимся здесь только на бухгалтерский учет и положения возмещения затрат. </w:t>
      </w:r>
      <w:bookmarkStart w:id="3" w:name="_ftnref4"/>
      <w:bookmarkEnd w:id="3"/>
      <w:r w:rsidRPr="009C62A4">
        <w:rPr>
          <w:rFonts w:ascii="Times New Roman" w:eastAsia="Times New Roman" w:hAnsi="Times New Roman" w:cs="Times New Roman"/>
          <w:color w:val="000000"/>
          <w:sz w:val="24"/>
          <w:szCs w:val="24"/>
          <w:lang w:eastAsia="ru-RU"/>
        </w:rPr>
        <w:fldChar w:fldCharType="begin"/>
      </w:r>
      <w:r w:rsidRPr="009C62A4">
        <w:rPr>
          <w:rFonts w:ascii="Times New Roman" w:eastAsia="Times New Roman" w:hAnsi="Times New Roman" w:cs="Times New Roman"/>
          <w:color w:val="000000"/>
          <w:sz w:val="24"/>
          <w:szCs w:val="24"/>
          <w:lang w:eastAsia="ru-RU"/>
        </w:rPr>
        <w:instrText xml:space="preserve"> HYPERLINK "http://translate.googleusercontent.com/translate_f" \l "_ftn4" </w:instrText>
      </w:r>
      <w:r w:rsidRPr="009C62A4">
        <w:rPr>
          <w:rFonts w:ascii="Times New Roman" w:eastAsia="Times New Roman" w:hAnsi="Times New Roman" w:cs="Times New Roman"/>
          <w:color w:val="000000"/>
          <w:sz w:val="24"/>
          <w:szCs w:val="24"/>
          <w:lang w:eastAsia="ru-RU"/>
        </w:rPr>
        <w:fldChar w:fldCharType="separate"/>
      </w:r>
      <w:r w:rsidRPr="009C62A4">
        <w:rPr>
          <w:rFonts w:ascii="Times New Roman" w:eastAsia="Times New Roman" w:hAnsi="Times New Roman" w:cs="Times New Roman"/>
          <w:color w:val="0000FF"/>
          <w:sz w:val="24"/>
          <w:szCs w:val="24"/>
          <w:u w:val="single"/>
          <w:lang w:eastAsia="ru-RU"/>
        </w:rPr>
        <w:t>[4]</w:t>
      </w:r>
      <w:r w:rsidRPr="009C62A4">
        <w:rPr>
          <w:rFonts w:ascii="Times New Roman" w:eastAsia="Times New Roman" w:hAnsi="Times New Roman" w:cs="Times New Roman"/>
          <w:color w:val="000000"/>
          <w:sz w:val="24"/>
          <w:szCs w:val="24"/>
          <w:lang w:eastAsia="ru-RU"/>
        </w:rPr>
        <w:fldChar w:fldCharType="end"/>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Комплексные поставки проектов (IPD) представляет собой инновационную систему доставки проекта считают возможность расширить возможности экономии о н проекта. AIA определены следующие характеристики комплексной системы доставки проекта:</w:t>
      </w:r>
    </w:p>
    <w:p w:rsidR="009C62A4" w:rsidRPr="009C62A4" w:rsidRDefault="009C62A4" w:rsidP="009C62A4">
      <w:pPr>
        <w:spacing w:before="100" w:after="100" w:line="401" w:lineRule="atLeast"/>
        <w:ind w:left="840" w:hanging="360"/>
        <w:jc w:val="both"/>
        <w:rPr>
          <w:rFonts w:ascii="Times New Roman" w:eastAsia="Times New Roman" w:hAnsi="Times New Roman" w:cs="Times New Roman"/>
          <w:color w:val="000000"/>
          <w:sz w:val="24"/>
          <w:szCs w:val="24"/>
          <w:lang w:eastAsia="ru-RU"/>
        </w:rPr>
      </w:pPr>
      <w:r w:rsidRPr="009C62A4">
        <w:rPr>
          <w:rFonts w:ascii="Symbol" w:eastAsia="Times New Roman" w:hAnsi="Symbol" w:cs="Times New Roman"/>
          <w:color w:val="000000"/>
          <w:sz w:val="20"/>
          <w:szCs w:val="20"/>
          <w:lang w:eastAsia="ru-RU"/>
        </w:rPr>
        <w:sym w:font="Symbol" w:char="F0B7"/>
      </w:r>
      <w:r w:rsidRPr="009C62A4">
        <w:rPr>
          <w:rFonts w:ascii="Times New Roman" w:eastAsia="Times New Roman" w:hAnsi="Times New Roman" w:cs="Times New Roman"/>
          <w:color w:val="000000"/>
          <w:sz w:val="24"/>
          <w:szCs w:val="24"/>
          <w:lang w:eastAsia="ru-RU"/>
        </w:rPr>
        <w:t> </w:t>
      </w:r>
      <w:r w:rsidRPr="009C62A4">
        <w:rPr>
          <w:rFonts w:ascii="Times New Roman" w:eastAsia="Times New Roman" w:hAnsi="Times New Roman" w:cs="Times New Roman"/>
          <w:color w:val="000000"/>
          <w:sz w:val="14"/>
          <w:szCs w:val="14"/>
          <w:lang w:eastAsia="ru-RU"/>
        </w:rPr>
        <w:t>   </w:t>
      </w:r>
      <w:r w:rsidRPr="009C62A4">
        <w:rPr>
          <w:rFonts w:ascii="Times New Roman" w:eastAsia="Times New Roman" w:hAnsi="Times New Roman" w:cs="Times New Roman"/>
          <w:color w:val="000000"/>
          <w:sz w:val="14"/>
          <w:lang w:eastAsia="ru-RU"/>
        </w:rPr>
        <w:t> </w:t>
      </w:r>
      <w:r w:rsidRPr="009C62A4">
        <w:rPr>
          <w:rFonts w:ascii="Times New Roman" w:eastAsia="Times New Roman" w:hAnsi="Times New Roman" w:cs="Times New Roman"/>
          <w:color w:val="000000"/>
          <w:sz w:val="24"/>
          <w:szCs w:val="24"/>
          <w:lang w:eastAsia="ru-RU"/>
        </w:rPr>
        <w:t>Раннее вовлечение ключевых участников</w:t>
      </w:r>
    </w:p>
    <w:p w:rsidR="009C62A4" w:rsidRPr="009C62A4" w:rsidRDefault="009C62A4" w:rsidP="009C62A4">
      <w:pPr>
        <w:spacing w:before="100" w:after="100" w:line="401" w:lineRule="atLeast"/>
        <w:ind w:left="840" w:hanging="360"/>
        <w:jc w:val="both"/>
        <w:rPr>
          <w:rFonts w:ascii="Times New Roman" w:eastAsia="Times New Roman" w:hAnsi="Times New Roman" w:cs="Times New Roman"/>
          <w:color w:val="000000"/>
          <w:sz w:val="24"/>
          <w:szCs w:val="24"/>
          <w:lang w:eastAsia="ru-RU"/>
        </w:rPr>
      </w:pPr>
      <w:r w:rsidRPr="009C62A4">
        <w:rPr>
          <w:rFonts w:ascii="Symbol" w:eastAsia="Times New Roman" w:hAnsi="Symbol" w:cs="Times New Roman"/>
          <w:color w:val="000000"/>
          <w:sz w:val="20"/>
          <w:szCs w:val="20"/>
          <w:lang w:eastAsia="ru-RU"/>
        </w:rPr>
        <w:sym w:font="Symbol" w:char="F0B7"/>
      </w:r>
      <w:r w:rsidRPr="009C62A4">
        <w:rPr>
          <w:rFonts w:ascii="Times New Roman" w:eastAsia="Times New Roman" w:hAnsi="Times New Roman" w:cs="Times New Roman"/>
          <w:color w:val="000000"/>
          <w:sz w:val="24"/>
          <w:szCs w:val="24"/>
          <w:lang w:eastAsia="ru-RU"/>
        </w:rPr>
        <w:t> </w:t>
      </w:r>
      <w:r w:rsidRPr="009C62A4">
        <w:rPr>
          <w:rFonts w:ascii="Times New Roman" w:eastAsia="Times New Roman" w:hAnsi="Times New Roman" w:cs="Times New Roman"/>
          <w:color w:val="000000"/>
          <w:sz w:val="14"/>
          <w:szCs w:val="14"/>
          <w:lang w:eastAsia="ru-RU"/>
        </w:rPr>
        <w:t>   </w:t>
      </w:r>
      <w:r w:rsidRPr="009C62A4">
        <w:rPr>
          <w:rFonts w:ascii="Times New Roman" w:eastAsia="Times New Roman" w:hAnsi="Times New Roman" w:cs="Times New Roman"/>
          <w:color w:val="000000"/>
          <w:sz w:val="14"/>
          <w:lang w:eastAsia="ru-RU"/>
        </w:rPr>
        <w:t> </w:t>
      </w:r>
      <w:r w:rsidRPr="009C62A4">
        <w:rPr>
          <w:rFonts w:ascii="Times New Roman" w:eastAsia="Times New Roman" w:hAnsi="Times New Roman" w:cs="Times New Roman"/>
          <w:color w:val="000000"/>
          <w:sz w:val="24"/>
          <w:szCs w:val="24"/>
          <w:lang w:eastAsia="ru-RU"/>
        </w:rPr>
        <w:t>Общий риск и вознаграждение</w:t>
      </w:r>
    </w:p>
    <w:p w:rsidR="009C62A4" w:rsidRPr="009C62A4" w:rsidRDefault="009C62A4" w:rsidP="009C62A4">
      <w:pPr>
        <w:spacing w:before="100" w:after="100" w:line="401" w:lineRule="atLeast"/>
        <w:ind w:left="840" w:hanging="360"/>
        <w:jc w:val="both"/>
        <w:rPr>
          <w:rFonts w:ascii="Times New Roman" w:eastAsia="Times New Roman" w:hAnsi="Times New Roman" w:cs="Times New Roman"/>
          <w:color w:val="000000"/>
          <w:sz w:val="24"/>
          <w:szCs w:val="24"/>
          <w:lang w:eastAsia="ru-RU"/>
        </w:rPr>
      </w:pPr>
      <w:r w:rsidRPr="009C62A4">
        <w:rPr>
          <w:rFonts w:ascii="Symbol" w:eastAsia="Times New Roman" w:hAnsi="Symbol" w:cs="Times New Roman"/>
          <w:color w:val="000000"/>
          <w:sz w:val="20"/>
          <w:szCs w:val="20"/>
          <w:lang w:eastAsia="ru-RU"/>
        </w:rPr>
        <w:sym w:font="Symbol" w:char="F0B7"/>
      </w:r>
      <w:r w:rsidRPr="009C62A4">
        <w:rPr>
          <w:rFonts w:ascii="Times New Roman" w:eastAsia="Times New Roman" w:hAnsi="Times New Roman" w:cs="Times New Roman"/>
          <w:color w:val="000000"/>
          <w:sz w:val="24"/>
          <w:szCs w:val="24"/>
          <w:lang w:eastAsia="ru-RU"/>
        </w:rPr>
        <w:t> </w:t>
      </w:r>
      <w:r w:rsidRPr="009C62A4">
        <w:rPr>
          <w:rFonts w:ascii="Times New Roman" w:eastAsia="Times New Roman" w:hAnsi="Times New Roman" w:cs="Times New Roman"/>
          <w:color w:val="000000"/>
          <w:sz w:val="14"/>
          <w:szCs w:val="14"/>
          <w:lang w:eastAsia="ru-RU"/>
        </w:rPr>
        <w:t>   </w:t>
      </w:r>
      <w:r w:rsidRPr="009C62A4">
        <w:rPr>
          <w:rFonts w:ascii="Times New Roman" w:eastAsia="Times New Roman" w:hAnsi="Times New Roman" w:cs="Times New Roman"/>
          <w:color w:val="000000"/>
          <w:sz w:val="14"/>
          <w:lang w:eastAsia="ru-RU"/>
        </w:rPr>
        <w:t> </w:t>
      </w:r>
      <w:r w:rsidRPr="009C62A4">
        <w:rPr>
          <w:rFonts w:ascii="Times New Roman" w:eastAsia="Times New Roman" w:hAnsi="Times New Roman" w:cs="Times New Roman"/>
          <w:color w:val="000000"/>
          <w:sz w:val="24"/>
          <w:szCs w:val="24"/>
          <w:lang w:eastAsia="ru-RU"/>
        </w:rPr>
        <w:t>Многосторонние договоры</w:t>
      </w:r>
    </w:p>
    <w:p w:rsidR="009C62A4" w:rsidRPr="009C62A4" w:rsidRDefault="009C62A4" w:rsidP="009C62A4">
      <w:pPr>
        <w:spacing w:before="100" w:after="100" w:line="401" w:lineRule="atLeast"/>
        <w:ind w:left="840" w:hanging="360"/>
        <w:jc w:val="both"/>
        <w:rPr>
          <w:rFonts w:ascii="Times New Roman" w:eastAsia="Times New Roman" w:hAnsi="Times New Roman" w:cs="Times New Roman"/>
          <w:color w:val="000000"/>
          <w:sz w:val="24"/>
          <w:szCs w:val="24"/>
          <w:lang w:eastAsia="ru-RU"/>
        </w:rPr>
      </w:pPr>
      <w:r w:rsidRPr="009C62A4">
        <w:rPr>
          <w:rFonts w:ascii="Symbol" w:eastAsia="Times New Roman" w:hAnsi="Symbol" w:cs="Times New Roman"/>
          <w:color w:val="000000"/>
          <w:sz w:val="20"/>
          <w:szCs w:val="20"/>
          <w:lang w:eastAsia="ru-RU"/>
        </w:rPr>
        <w:sym w:font="Symbol" w:char="F0B7"/>
      </w:r>
      <w:r w:rsidRPr="009C62A4">
        <w:rPr>
          <w:rFonts w:ascii="Times New Roman" w:eastAsia="Times New Roman" w:hAnsi="Times New Roman" w:cs="Times New Roman"/>
          <w:color w:val="000000"/>
          <w:sz w:val="24"/>
          <w:szCs w:val="24"/>
          <w:lang w:eastAsia="ru-RU"/>
        </w:rPr>
        <w:t> </w:t>
      </w:r>
      <w:r w:rsidRPr="009C62A4">
        <w:rPr>
          <w:rFonts w:ascii="Times New Roman" w:eastAsia="Times New Roman" w:hAnsi="Times New Roman" w:cs="Times New Roman"/>
          <w:color w:val="000000"/>
          <w:sz w:val="14"/>
          <w:szCs w:val="14"/>
          <w:lang w:eastAsia="ru-RU"/>
        </w:rPr>
        <w:t>   </w:t>
      </w:r>
      <w:r w:rsidRPr="009C62A4">
        <w:rPr>
          <w:rFonts w:ascii="Times New Roman" w:eastAsia="Times New Roman" w:hAnsi="Times New Roman" w:cs="Times New Roman"/>
          <w:color w:val="000000"/>
          <w:sz w:val="14"/>
          <w:lang w:eastAsia="ru-RU"/>
        </w:rPr>
        <w:t> </w:t>
      </w:r>
      <w:r w:rsidRPr="009C62A4">
        <w:rPr>
          <w:rFonts w:ascii="Times New Roman" w:eastAsia="Times New Roman" w:hAnsi="Times New Roman" w:cs="Times New Roman"/>
          <w:color w:val="000000"/>
          <w:sz w:val="24"/>
          <w:szCs w:val="24"/>
          <w:lang w:eastAsia="ru-RU"/>
        </w:rPr>
        <w:t>Совместное принятие решений и контроль</w:t>
      </w:r>
    </w:p>
    <w:p w:rsidR="009C62A4" w:rsidRPr="009C62A4" w:rsidRDefault="009C62A4" w:rsidP="009C62A4">
      <w:pPr>
        <w:spacing w:before="100" w:after="100" w:line="401" w:lineRule="atLeast"/>
        <w:ind w:left="840" w:hanging="360"/>
        <w:jc w:val="both"/>
        <w:rPr>
          <w:rFonts w:ascii="Times New Roman" w:eastAsia="Times New Roman" w:hAnsi="Times New Roman" w:cs="Times New Roman"/>
          <w:color w:val="000000"/>
          <w:sz w:val="24"/>
          <w:szCs w:val="24"/>
          <w:lang w:eastAsia="ru-RU"/>
        </w:rPr>
      </w:pPr>
      <w:r w:rsidRPr="009C62A4">
        <w:rPr>
          <w:rFonts w:ascii="Symbol" w:eastAsia="Times New Roman" w:hAnsi="Symbol" w:cs="Times New Roman"/>
          <w:color w:val="000000"/>
          <w:sz w:val="20"/>
          <w:szCs w:val="20"/>
          <w:lang w:eastAsia="ru-RU"/>
        </w:rPr>
        <w:sym w:font="Symbol" w:char="F0B7"/>
      </w:r>
      <w:r w:rsidRPr="009C62A4">
        <w:rPr>
          <w:rFonts w:ascii="Times New Roman" w:eastAsia="Times New Roman" w:hAnsi="Times New Roman" w:cs="Times New Roman"/>
          <w:color w:val="000000"/>
          <w:sz w:val="24"/>
          <w:szCs w:val="24"/>
          <w:lang w:eastAsia="ru-RU"/>
        </w:rPr>
        <w:t> </w:t>
      </w:r>
      <w:r w:rsidRPr="009C62A4">
        <w:rPr>
          <w:rFonts w:ascii="Times New Roman" w:eastAsia="Times New Roman" w:hAnsi="Times New Roman" w:cs="Times New Roman"/>
          <w:color w:val="000000"/>
          <w:sz w:val="14"/>
          <w:szCs w:val="14"/>
          <w:lang w:eastAsia="ru-RU"/>
        </w:rPr>
        <w:t>   </w:t>
      </w:r>
      <w:r w:rsidRPr="009C62A4">
        <w:rPr>
          <w:rFonts w:ascii="Times New Roman" w:eastAsia="Times New Roman" w:hAnsi="Times New Roman" w:cs="Times New Roman"/>
          <w:color w:val="000000"/>
          <w:sz w:val="14"/>
          <w:lang w:eastAsia="ru-RU"/>
        </w:rPr>
        <w:t> </w:t>
      </w:r>
      <w:r w:rsidRPr="009C62A4">
        <w:rPr>
          <w:rFonts w:ascii="Times New Roman" w:eastAsia="Times New Roman" w:hAnsi="Times New Roman" w:cs="Times New Roman"/>
          <w:color w:val="000000"/>
          <w:sz w:val="24"/>
          <w:szCs w:val="24"/>
          <w:lang w:eastAsia="ru-RU"/>
        </w:rPr>
        <w:t>Ответственность отказы среди ключевых участников</w:t>
      </w:r>
    </w:p>
    <w:p w:rsidR="009C62A4" w:rsidRPr="009C62A4" w:rsidRDefault="009C62A4" w:rsidP="009C62A4">
      <w:pPr>
        <w:spacing w:before="100" w:after="100" w:line="401" w:lineRule="atLeast"/>
        <w:ind w:left="840" w:hanging="360"/>
        <w:jc w:val="both"/>
        <w:rPr>
          <w:rFonts w:ascii="Times New Roman" w:eastAsia="Times New Roman" w:hAnsi="Times New Roman" w:cs="Times New Roman"/>
          <w:color w:val="000000"/>
          <w:sz w:val="24"/>
          <w:szCs w:val="24"/>
          <w:lang w:eastAsia="ru-RU"/>
        </w:rPr>
      </w:pPr>
      <w:r w:rsidRPr="009C62A4">
        <w:rPr>
          <w:rFonts w:ascii="Symbol" w:eastAsia="Times New Roman" w:hAnsi="Symbol" w:cs="Times New Roman"/>
          <w:color w:val="000000"/>
          <w:sz w:val="20"/>
          <w:szCs w:val="20"/>
          <w:lang w:eastAsia="ru-RU"/>
        </w:rPr>
        <w:sym w:font="Symbol" w:char="F0B7"/>
      </w:r>
      <w:r w:rsidRPr="009C62A4">
        <w:rPr>
          <w:rFonts w:ascii="Times New Roman" w:eastAsia="Times New Roman" w:hAnsi="Times New Roman" w:cs="Times New Roman"/>
          <w:color w:val="000000"/>
          <w:sz w:val="24"/>
          <w:szCs w:val="24"/>
          <w:lang w:eastAsia="ru-RU"/>
        </w:rPr>
        <w:t> </w:t>
      </w:r>
      <w:r w:rsidRPr="009C62A4">
        <w:rPr>
          <w:rFonts w:ascii="Times New Roman" w:eastAsia="Times New Roman" w:hAnsi="Times New Roman" w:cs="Times New Roman"/>
          <w:color w:val="000000"/>
          <w:sz w:val="14"/>
          <w:szCs w:val="14"/>
          <w:lang w:eastAsia="ru-RU"/>
        </w:rPr>
        <w:t>   </w:t>
      </w:r>
      <w:r w:rsidRPr="009C62A4">
        <w:rPr>
          <w:rFonts w:ascii="Times New Roman" w:eastAsia="Times New Roman" w:hAnsi="Times New Roman" w:cs="Times New Roman"/>
          <w:color w:val="000000"/>
          <w:sz w:val="14"/>
          <w:lang w:eastAsia="ru-RU"/>
        </w:rPr>
        <w:t> </w:t>
      </w:r>
      <w:r w:rsidRPr="009C62A4">
        <w:rPr>
          <w:rFonts w:ascii="Times New Roman" w:eastAsia="Times New Roman" w:hAnsi="Times New Roman" w:cs="Times New Roman"/>
          <w:color w:val="000000"/>
          <w:sz w:val="24"/>
          <w:szCs w:val="24"/>
          <w:lang w:eastAsia="ru-RU"/>
        </w:rPr>
        <w:t>Совместно разработать и утвердить цели</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Поскольку использование IPD увеличивается доставка проект системы, OBA может увеличить потенциальную экономию средств в рамках этой системы реализации проектов в подобной манере. В литературе высказывается мнение неофициальные данные о 20-30% экономии по сравнению с традиционными формами доставки. Предположительно это экономия достигается за счет стимулирования в целях создания общей стоимости и не принимать во внимание дополнительную экономию за счет исключения судебных издержек.</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lastRenderedPageBreak/>
        <w:t>Оценка всех возможных вариаций на IPD выходит за рамки данной статьи, но это полезно кратко рассмотрим, каким образом две основные формы контракта адрес затрат и прозрачности в их совместной стандартизированных контрактов.   Вместо того, чтобы единовременно или гарантированной максимальной цены (GMP), IPD контракты требуют создания стоимость проекта Целевая оценка (PTCE). В IPD, владелец, дизайнер, подрядчик, а иногда и ключевые субподрядчиков участвуют на ранних стадиях для оказания помощи в координации работы и обеспечения экономии идей на этапе проектирования.   При определении PTCE, проект архитектора, подрядчика, субподрядчиков, и владелец работать вместе в рамках Design Целевое значение (ТВД) с целью внести свой ​​вклад и обеспечить для общей дизайн-проект и, возможно, избегать конфликтов, координации в этой области.</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Первое различие между лечения IPD в AIA и ConsensusDocs в сроках создания целевых расходов. AIA выступает за установление целевых затрат, прежде чем создавать подробную проектную документацию. ConsensusDOCS, с другой стороны, призывать к целевой цене, который будет создан во время управления групповыми </w:t>
      </w:r>
      <w:bookmarkStart w:id="4" w:name="_ftnref5"/>
      <w:bookmarkEnd w:id="4"/>
      <w:r w:rsidRPr="009C62A4">
        <w:rPr>
          <w:rFonts w:ascii="Times New Roman" w:eastAsia="Times New Roman" w:hAnsi="Times New Roman" w:cs="Times New Roman"/>
          <w:color w:val="000000"/>
          <w:sz w:val="24"/>
          <w:szCs w:val="24"/>
          <w:lang w:eastAsia="ru-RU"/>
        </w:rPr>
        <w:fldChar w:fldCharType="begin"/>
      </w:r>
      <w:r w:rsidRPr="009C62A4">
        <w:rPr>
          <w:rFonts w:ascii="Times New Roman" w:eastAsia="Times New Roman" w:hAnsi="Times New Roman" w:cs="Times New Roman"/>
          <w:color w:val="000000"/>
          <w:sz w:val="24"/>
          <w:szCs w:val="24"/>
          <w:lang w:eastAsia="ru-RU"/>
        </w:rPr>
        <w:instrText xml:space="preserve"> HYPERLINK "http://translate.googleusercontent.com/translate_f" \l "_ftn5" </w:instrText>
      </w:r>
      <w:r w:rsidRPr="009C62A4">
        <w:rPr>
          <w:rFonts w:ascii="Times New Roman" w:eastAsia="Times New Roman" w:hAnsi="Times New Roman" w:cs="Times New Roman"/>
          <w:color w:val="000000"/>
          <w:sz w:val="24"/>
          <w:szCs w:val="24"/>
          <w:lang w:eastAsia="ru-RU"/>
        </w:rPr>
        <w:fldChar w:fldCharType="separate"/>
      </w:r>
      <w:r w:rsidRPr="009C62A4">
        <w:rPr>
          <w:rFonts w:ascii="Times New Roman" w:eastAsia="Times New Roman" w:hAnsi="Times New Roman" w:cs="Times New Roman"/>
          <w:color w:val="0000FF"/>
          <w:sz w:val="24"/>
          <w:szCs w:val="24"/>
          <w:u w:val="single"/>
          <w:lang w:eastAsia="ru-RU"/>
        </w:rPr>
        <w:t>[5]</w:t>
      </w:r>
      <w:r w:rsidRPr="009C62A4">
        <w:rPr>
          <w:rFonts w:ascii="Times New Roman" w:eastAsia="Times New Roman" w:hAnsi="Times New Roman" w:cs="Times New Roman"/>
          <w:color w:val="000000"/>
          <w:sz w:val="24"/>
          <w:szCs w:val="24"/>
          <w:lang w:eastAsia="ru-RU"/>
        </w:rPr>
        <w:fldChar w:fldCharType="end"/>
      </w:r>
      <w:r w:rsidRPr="009C62A4">
        <w:rPr>
          <w:rFonts w:ascii="Times New Roman" w:eastAsia="Times New Roman" w:hAnsi="Times New Roman" w:cs="Times New Roman"/>
          <w:color w:val="000000"/>
          <w:sz w:val="24"/>
          <w:szCs w:val="24"/>
          <w:lang w:eastAsia="ru-RU"/>
        </w:rPr>
        <w:t> определяет ", что проектно достаточно полный". ConsensusDocs сделать призыв к обеспечению "Целевое значение дизайна поддержки" до этого времени из конструктора и торговли подрядчиков. Преимущество раннего stablishment е PTCE, что стороны есть сильные стимулы к сотрудничеству и найти экономию в процессе проектирования.</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Эта ранняя вовлеченность может служить для замены традиционных технологических процессов значение GMP договор.   Сторонники считают, что с уч рано участии подрядчика позволит с большей экономии идей, которые будут реализованы, а м erely учетом замены, характерные для простого процесса оптимизации стоимости. Значение в этом процессе, безусловно, была реализована до начала участия в строительстве менеджер рисков метод доставки. Хотя IPD процесс не может пользоваться преимуществами вызванных конкуренцией, присущие дизайн-предложение, процесс сборки с подрядчиком выбрана в раннем этапе, в процессе OBA еще может служить обеспечить экономию на протяжении всего проекта. Как члены команды получают больше ответственности, принятия решений властью, и интерес к общей стоимости проекта, вопросы, которые возникают на этапе строительства может быть быстро решена.</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 xml:space="preserve">Основными характеристиками являются IPD совместного принятия решений и, возможно, общие затраты сбережений (и, возможно, общие перерасход) в обмен на отказ от договорных практически всех претензий.   И он т ConsensusDocs и AIA C191 предусматривает, что стороны должны участвовать в сбережения, если фактические затраты по проекту составляют менее PTCE.  Конечно, ни один контракт описывает </w:t>
      </w:r>
      <w:r w:rsidRPr="009C62A4">
        <w:rPr>
          <w:rFonts w:ascii="Times New Roman" w:eastAsia="Times New Roman" w:hAnsi="Times New Roman" w:cs="Times New Roman"/>
          <w:color w:val="000000"/>
          <w:sz w:val="24"/>
          <w:szCs w:val="24"/>
          <w:lang w:eastAsia="ru-RU"/>
        </w:rPr>
        <w:lastRenderedPageBreak/>
        <w:t>конкретную сумму или процент от стимулов оплаты.   Кроме того, контракт предусматривает AIA дополнительные стимулы направлены на неценовых целей.</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Оба контракта с также включено положение, что позволяет, но не требует выделения потерь в том случае, затраты превышают PTCE. кадр ConsensusDOCS положение как флажок выбор между затратами сверх PTCE берет на себя владелец или совместно в неопределенный процент . Кадры AIA контракт "общей болью" положение с точки зрения обязанности владельца возместить расходы других сторон труда при общей стоимости с превышать PTCE. Интересно, что контракт AIA не предполагает совместного использования всех перерасход средств, а описывает точка, в которой владелец перестает платить других Сторон, затраты на рабочую силу. </w:t>
      </w:r>
      <w:bookmarkStart w:id="5" w:name="_ftnref6"/>
      <w:bookmarkEnd w:id="5"/>
      <w:r w:rsidRPr="009C62A4">
        <w:rPr>
          <w:rFonts w:ascii="Times New Roman" w:eastAsia="Times New Roman" w:hAnsi="Times New Roman" w:cs="Times New Roman"/>
          <w:color w:val="000000"/>
          <w:sz w:val="24"/>
          <w:szCs w:val="24"/>
          <w:lang w:eastAsia="ru-RU"/>
        </w:rPr>
        <w:fldChar w:fldCharType="begin"/>
      </w:r>
      <w:r w:rsidRPr="009C62A4">
        <w:rPr>
          <w:rFonts w:ascii="Times New Roman" w:eastAsia="Times New Roman" w:hAnsi="Times New Roman" w:cs="Times New Roman"/>
          <w:color w:val="000000"/>
          <w:sz w:val="24"/>
          <w:szCs w:val="24"/>
          <w:lang w:eastAsia="ru-RU"/>
        </w:rPr>
        <w:instrText xml:space="preserve"> HYPERLINK "http://translate.googleusercontent.com/translate_f" \l "_ftn6" </w:instrText>
      </w:r>
      <w:r w:rsidRPr="009C62A4">
        <w:rPr>
          <w:rFonts w:ascii="Times New Roman" w:eastAsia="Times New Roman" w:hAnsi="Times New Roman" w:cs="Times New Roman"/>
          <w:color w:val="000000"/>
          <w:sz w:val="24"/>
          <w:szCs w:val="24"/>
          <w:lang w:eastAsia="ru-RU"/>
        </w:rPr>
        <w:fldChar w:fldCharType="separate"/>
      </w:r>
      <w:r w:rsidRPr="009C62A4">
        <w:rPr>
          <w:rFonts w:ascii="Times New Roman" w:eastAsia="Times New Roman" w:hAnsi="Times New Roman" w:cs="Times New Roman"/>
          <w:color w:val="0000FF"/>
          <w:sz w:val="24"/>
          <w:szCs w:val="24"/>
          <w:u w:val="single"/>
          <w:lang w:eastAsia="ru-RU"/>
        </w:rPr>
        <w:t>[6]</w:t>
      </w:r>
      <w:r w:rsidRPr="009C62A4">
        <w:rPr>
          <w:rFonts w:ascii="Times New Roman" w:eastAsia="Times New Roman" w:hAnsi="Times New Roman" w:cs="Times New Roman"/>
          <w:color w:val="000000"/>
          <w:sz w:val="24"/>
          <w:szCs w:val="24"/>
          <w:lang w:eastAsia="ru-RU"/>
        </w:rPr>
        <w:fldChar w:fldCharType="end"/>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Очевидно то, определение стоимости и прозрачности этих расходов является критически важным. Любой опыт в разработке и обсуждении стоимость возмещаемых контрактов, особенно тех, которые включают в себя единовременные компоненты, такие как общие условия, будут знакомы с основной посылкой. Возмещаемые расходы должны быть определены точно. Это не означает, что сумма единовременной элементы, такие, как все или некоторые общие условия, и все или некоторые из субподрядных расходов, не подходят. Но если есть неподвижных элементов цены и возмещения затрат, необходимость тщательного определения усугубляется. И AGC300 и AIA C191 определить затраты, но по нашему опыту, эти определения относятся к числу наиболее часто изменен таким образом, что чтение как контракты определяют возмещению расходы служит преимущественно для здесь.</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Как должно быть истинным каждого контракта возмещение расходов, ConsensusDOCS требуется конструктор для поддержания полной и точной бухгалтерский учет в соответствии с общепринятыми принципами бухгалтерского учета. Владелец имеет право провести окончательный аудит и подготовить письменный отчет в течение 15 дней после Доставка конструктора окончательной отчетности. Если бухгалтеры не могут договориться о конечной стоимости, договор относится сторон процедур урегулирования споров, но требует владельца выплатить сумму сертифицирована конструктор в ожидании разрешения. Кроме того, с правом на окончательное бухгалтерского учета и аудита, ConsensusDOCS дают владельцу право на доступ ко всем записям в любое время в ходе проекта.</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 xml:space="preserve">Контракт AIA C191 имеет меньше деталей, но требует, чтобы стороны вести подробный учет удовлетворять владельца. Контракт также предусматривает, что владелец и его аудиторы должны иметь доступ к рассмотрению, копирование и аудит бухгалтерского учета других сторон. Контракт исключает из право проверять любые </w:t>
      </w:r>
      <w:r w:rsidRPr="009C62A4">
        <w:rPr>
          <w:rFonts w:ascii="Times New Roman" w:eastAsia="Times New Roman" w:hAnsi="Times New Roman" w:cs="Times New Roman"/>
          <w:color w:val="000000"/>
          <w:sz w:val="24"/>
          <w:szCs w:val="24"/>
          <w:lang w:eastAsia="ru-RU"/>
        </w:rPr>
        <w:lastRenderedPageBreak/>
        <w:t>ставки или затраты, которые основаны на соглашении, цены единицы товара, единовременно или другие фиксированные ставки или затраты.</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Интегрированные системы доставки проекта может быть построена так, чтобы включать несколько сторон в договоре.   Как правило, подрядчик и, возможно, ключевой субподрядчиков бы сторонами договора. Стимулы для участия в проекте экономия может быть включена для всех сторон. В этом случае подрядчик и субподрядные ключ или с будет выплачиваться на основе возмещения затрат с потенциальными стимулов для сохранения в любых непредвиденных или общей экономии проекта. Очевидно, что включение OBA является ключевым компонентом в поддержании прозрачности этого многопартийного процесса.</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Несмотря на очевидный факт, что совместные усилия всех участников проекта, скорее всего, увеличение выгод IPD, ни ConsensusDOCS ни форма AIA стандарт предусматривает экономию / перерасход стимулы для торговли субподрядчиков или других участников. ConsensusDOCS возможности для участия в торговле подрядчиков и поставщиков в совместных усилиях, при условии одобрения группы управления, но прямо предусматривает, что они должны заключить напрямую с конструктора, то есть не полный участник IPD соглашения. Контракт предусматривает торговли Подрядчики подписания "вступление соглашения" принять принципы и методы сотрудничества, т.е. совместного принятия решений и отказа от претензий, но нет положения для стимулирования совместного несения расходов.</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Контракт AIA еще более жесткие по отношению к торговле и т.д. Подрядчики AIA C191 предусматривает включение других участников с «уникальными навыками и опытом" как "без права голоса советников». Эти советники не становятся сторонами соглашения и, следовательно, не подпадает под освобождение от ответственности.</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 xml:space="preserve">Другой поворот в традиционной системе реализации проекта GMP является стоимость возмещаемых контракт с Расчетная максимальная цена (EMP). В EMP подход, владелец отходит от комфорта абсолютное понятие максимальная цена предоставляется по GMP.   При таком подходе, владелец акций риск любой перерасход средств сверх установленных EMP. Владельца, который считает, что имеет определенные навыки в повышении эффективности и снижении затрат может выбрать этот тип строительства предоставление в надежде на установление уровня ЭМИ меньше воспринимается GMP уровне.   С помощью такого подхода, и без комфорта GMP, желание владельца использовать ОБА должен быть усилен. Как владелец акций риски и дополнительные расходы перерасход на EMP, стимул для анализа реальных данных о затратах времени через OBA владельца должна возрасти. Построенный успешно, подрядчик может </w:t>
      </w:r>
      <w:r w:rsidRPr="009C62A4">
        <w:rPr>
          <w:rFonts w:ascii="Times New Roman" w:eastAsia="Times New Roman" w:hAnsi="Times New Roman" w:cs="Times New Roman"/>
          <w:color w:val="000000"/>
          <w:sz w:val="24"/>
          <w:szCs w:val="24"/>
          <w:lang w:eastAsia="ru-RU"/>
        </w:rPr>
        <w:lastRenderedPageBreak/>
        <w:t>согласиться на EMP, которые были бы ниже, чем GMP, так как риск превышения EMP разделяют. Затем, по мере EMP не достигнуто, любая общая экономия получил подрядчик будет снижена с экономия будет меньше, чем в GMP договоренности. В той степени, OBA может увеличить вероятность того, что ЭМИ не будет достигнуто, то владелец должен брать на себя большую заинтересованность в преимущества, предоставляемые подход OBA.</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Об электронной окончательное предостережение: по крайней мере, один из комментаторов предупредил, что необходимо соблюдать осторожность, чтобы предотвратить формирование партнерских отношений по этим положениям. Пересмотренной единообразной партнерства Закон определяет партнерство как «объединение двух или более лиц, вести как совладельцы бизнеса с целью получения прибыли». Несмотря на то, что многие суды используют распределение затрат и прибыли в качестве главного критерия формирования о партнерстве кажется маловероятным, что ОБА, даже в контексте IPD соглашение будет считаться партнерства в целях солидарную ответственность.</w:t>
      </w:r>
    </w:p>
    <w:p w:rsidR="009C62A4" w:rsidRPr="009C62A4" w:rsidRDefault="009C62A4" w:rsidP="009C62A4">
      <w:pPr>
        <w:spacing w:before="100" w:after="100" w:line="401" w:lineRule="atLeast"/>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b/>
          <w:bCs/>
          <w:color w:val="000000"/>
          <w:sz w:val="24"/>
          <w:szCs w:val="24"/>
          <w:lang w:eastAsia="ru-RU"/>
        </w:rPr>
        <w:t>Настройка OBA и определение "открытый" Документы</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Внедрение системы ППР требует координации и планирования всех членов команды, чтобы определить процедурные и технические требования, необходимые для создания адекватной системы, где информация доступна для всех сторон. Система ППР может быть также просто, как передача копии бухгалтерского учета и счетов-фактур заинтересованных сторон, или же сложным, как создание общей электронной системы учета провести все расчеты, затраты отчетов и других бухгалтерских документов.   Уровень усилий по созданию системы OBA в первую очередь зависит от размера проекта и сложности вовлеченных сторон. Общая электронная система учета конце спектра позволяет более широкое использование и зависимость от данных в реальном времени учета.</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 xml:space="preserve">Одним из первых шагов в реализации OBA является определение типов документов, которые будут предметом рассмотрения. Вот некоторые примеры документов, которые могут предоставить полезную информацию стоимость всего проекта в том числе е: проект бюджета / оценки, отчет работы стоимости, подробный отчет о сделке или главной книги, материал счетов-фактур, материалов получение отчетов, подтверждающий оплату записи, авансовые отчеты, отчеты заработной платы , начисления заработной платы налоговые декларации, возвращается компания налога, табелей, трудовых отчеты производительности отслеживания и субподрядчик </w:t>
      </w:r>
      <w:r w:rsidRPr="009C62A4">
        <w:rPr>
          <w:rFonts w:ascii="Times New Roman" w:eastAsia="Times New Roman" w:hAnsi="Times New Roman" w:cs="Times New Roman"/>
          <w:color w:val="000000"/>
          <w:sz w:val="24"/>
          <w:szCs w:val="24"/>
          <w:lang w:eastAsia="ru-RU"/>
        </w:rPr>
        <w:lastRenderedPageBreak/>
        <w:t>записей. Использования и потенциальные преимущества каждого из выявленных документов будут рассмотрены ниже.</w:t>
      </w:r>
    </w:p>
    <w:p w:rsidR="009C62A4" w:rsidRPr="009C62A4" w:rsidRDefault="009C62A4" w:rsidP="009C62A4">
      <w:pPr>
        <w:spacing w:before="100" w:after="100" w:line="401" w:lineRule="atLeast"/>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b/>
          <w:bCs/>
          <w:i/>
          <w:iCs/>
          <w:color w:val="000000"/>
          <w:sz w:val="24"/>
          <w:szCs w:val="24"/>
          <w:lang w:eastAsia="ru-RU"/>
        </w:rPr>
        <w:t>Бюджет проекта / Оценка</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Первоначальная смета проекта (включая все подробные взлета листов) определяет предположения используются для установки PTCE или GMP. Сметной документации будут определены объемы работ, предусмотренных в оценке процессов, наряду с производительностью ставки сверхурочных использования, предусмотренных персонала, материалов и оборудования, количество и расходы, и расходы общие условия ", включенные в определение PTCE или GMP. Кроме того, оценки документов об изменении заказов может быть полезным.</w:t>
      </w:r>
    </w:p>
    <w:p w:rsidR="009C62A4" w:rsidRPr="009C62A4" w:rsidRDefault="009C62A4" w:rsidP="009C62A4">
      <w:pPr>
        <w:spacing w:before="100" w:after="100" w:line="401" w:lineRule="atLeast"/>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b/>
          <w:bCs/>
          <w:i/>
          <w:iCs/>
          <w:color w:val="000000"/>
          <w:sz w:val="24"/>
          <w:szCs w:val="24"/>
          <w:lang w:eastAsia="ru-RU"/>
        </w:rPr>
        <w:t>Отчет работы стоимость</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В докладе работа стоимость должна обеспечивать одновременное снимок затрат по проекту представлены на работу кода затрат. В докладе работа стоимость, как правило, обновление, по крайней мере, ежемесячно и должен определить фактические расходы, понесенные на сегодняшний день, наряду с запланированной стоимости и прогнозируемых расходов к завершения проекта. В докладе стоимость работы может сообщить некоторые расходы по договорным ставкам вместо фактических затрат. Например, ставки по управлению проектами сотрудников, груз или оборудование могут быть представлены в предусмотренные скорость с и предполагалось, ставки.</w:t>
      </w:r>
    </w:p>
    <w:p w:rsidR="009C62A4" w:rsidRPr="009C62A4" w:rsidRDefault="009C62A4" w:rsidP="009C62A4">
      <w:pPr>
        <w:spacing w:before="100" w:after="100" w:line="301" w:lineRule="atLeast"/>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 </w:t>
      </w:r>
    </w:p>
    <w:p w:rsidR="009C62A4" w:rsidRPr="009C62A4" w:rsidRDefault="009C62A4" w:rsidP="009C62A4">
      <w:pPr>
        <w:spacing w:before="100" w:after="100" w:line="401" w:lineRule="atLeast"/>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b/>
          <w:bCs/>
          <w:i/>
          <w:iCs/>
          <w:color w:val="000000"/>
          <w:sz w:val="24"/>
          <w:szCs w:val="24"/>
          <w:lang w:eastAsia="ru-RU"/>
        </w:rPr>
        <w:t>Подробный отчет транзакций / General Ledger</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Подробные отчеты сделки определить отдельные операции, которые поддерживают стоимость проекта обычно сообщается в докладах работу стоимости. Если отчет работа включает в себя стоимость некоторых расходов на предусмотренные ставки, главной книги могут определить связанные фактических затрат. Подробное книги общим позволит владельцу чтобы убедиться, что затраты сообщается в докладе стоимость работы являются полными, точными и надежными. Подробное главной книги также могут быть полезны при анализе времени расходы, связанные с полем для проверки ставок накладных расходов и необычно, разовые расходы. В некоторых случаях, главная книга будет определять домашний офис накладные расходы, которые были выделены для конкретного проекта. Наконец, главная книга должна быть меньше, вероятно, будут включать двойного учета суммы в рамках проекта или среди других проектов.  </w:t>
      </w:r>
    </w:p>
    <w:p w:rsidR="009C62A4" w:rsidRPr="009C62A4" w:rsidRDefault="009C62A4" w:rsidP="009C62A4">
      <w:pPr>
        <w:spacing w:before="100" w:after="100" w:line="401" w:lineRule="atLeast"/>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b/>
          <w:bCs/>
          <w:i/>
          <w:iCs/>
          <w:color w:val="000000"/>
          <w:sz w:val="24"/>
          <w:szCs w:val="24"/>
          <w:lang w:eastAsia="ru-RU"/>
        </w:rPr>
        <w:t>Заработная плата Журнал / Сертифицированный Payrolls</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lastRenderedPageBreak/>
        <w:t>Заработная плата отчеты могут помочь в проверке сумм, выплаченных работникам подрядчика, в том числе расходы на определенные предметы труда подрядчика бремя. Заработная плата отчеты будут определены сроки и количество сверхурочных выплат работникам. Заработная плата отчеты могут предоставить список заряженных часа проект, предусматривающий проверку расписания информации. Зарплаты отчеты могут также определить текучесть кадров, что может привести к неэффективности труда.</w:t>
      </w:r>
    </w:p>
    <w:p w:rsidR="009C62A4" w:rsidRPr="009C62A4" w:rsidRDefault="009C62A4" w:rsidP="009C62A4">
      <w:pPr>
        <w:spacing w:before="100" w:after="100" w:line="401" w:lineRule="atLeast"/>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b/>
          <w:bCs/>
          <w:i/>
          <w:iCs/>
          <w:color w:val="000000"/>
          <w:sz w:val="24"/>
          <w:szCs w:val="24"/>
          <w:lang w:eastAsia="ru-RU"/>
        </w:rPr>
        <w:t>Налоговые декларации</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Налоговые декларации включают работодатель ежеквартально налог на заработную плату опилки и федеральных налоговых доходов, и другие. Работодатель ежеквартально заявок налог на заработную плату оказывать поддержку фактически заплатил налоги на заработную плату, и таким образом оказать поддержку или проверки труда накладных расходов сообщается в докладе работа стоимость и / или подробные отчеты сделки. Федеральные налоговые декларации может предоставить дополнительную информацию, относящиеся к активам подрядчика, особенно в отношении имущества, принадлежащего использованы подрядчиком.   Налоговый учет амортизации может быть differe NT, чем метод книги амортизации для целей налогового учета. В зависимости от того, как контракт определяет соответствующую скорость счета за оборудование, данные налоговой декларации может потребоваться, по крайней мере, налогов и амортизации информация книгу по части оборудования, используемого в проекте. Т о степени Контрактор сообщает расходы, связанные с оборудованием, которое полностью амортизируется, дальнейшие исследования могут потребоваться, так как налоговая декларация не предоставят никакой информации, касающейся оборудования.</w:t>
      </w:r>
    </w:p>
    <w:p w:rsidR="009C62A4" w:rsidRPr="009C62A4" w:rsidRDefault="009C62A4" w:rsidP="009C62A4">
      <w:pPr>
        <w:spacing w:before="100" w:after="100" w:line="401" w:lineRule="atLeast"/>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b/>
          <w:bCs/>
          <w:i/>
          <w:iCs/>
          <w:color w:val="000000"/>
          <w:sz w:val="24"/>
          <w:szCs w:val="24"/>
          <w:lang w:eastAsia="ru-RU"/>
        </w:rPr>
        <w:t>Табелей / Расписания</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Табелей / расписания помощь в подтверждении фактического часов, отработанных подрядчика сотрудников. Во многих случаях, табелей определения конкретных мероприятий, проводимых сотрудниками подрядчика. В проекте OBA, стоимость слежения должны быть рассмотрены и утверждены с владельцем, чтобы согласованный труд отслеживания происходящих на согласованный уровень детализации. Табелей дальнейшей проверки времени и точности сверхурочные часы их возникновения. Табелей может быть особенно полезно, если договор позволяет предусмотренных тарифы для управления проектами для того, чтобы убедиться, что подрядчик сотрудники работали количество часов, сообщается в докладе, стоимость работы.</w:t>
      </w:r>
    </w:p>
    <w:p w:rsidR="009C62A4" w:rsidRPr="009C62A4" w:rsidRDefault="009C62A4" w:rsidP="009C62A4">
      <w:pPr>
        <w:spacing w:before="100" w:after="100" w:line="401" w:lineRule="atLeast"/>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b/>
          <w:bCs/>
          <w:i/>
          <w:iCs/>
          <w:color w:val="000000"/>
          <w:sz w:val="24"/>
          <w:szCs w:val="24"/>
          <w:lang w:eastAsia="ru-RU"/>
        </w:rPr>
        <w:t>Оборудование записи</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lastRenderedPageBreak/>
        <w:t>Отслеживание использования оборудования должна быть определена в передней части проекта с владельцем проектов OBA. T он владелец можете подрядчика создать отчет использования оборудования показывает использование часов вместо часов в режиме ожидания.   Возможно, владелец может быть удовлетворен отчетом, показывающим, что часть оборудования была на месте, а месячная ставка взимается независимо от использования. Для проверки оборудования на площадке с продолжительностью, владелец может потребовать оборудования мобилизации и демобилизации записи записи должны быть предоставлены в качестве поддержки в течение всего срока оборудование было на месте.   Скорость поверенный оборудования должны быть определены в передней части.   Некоторые владельцы могут потребовать отслеживания электронной использования quipment по направлениям проекта. Оборудование ставки может быть желательно определяется книги ставка промышленности или может взиматься только в истинной фактической стоимости. Я ж оборудование оплачиваются по фактической стоимости истинный,Метод установления истинной фактическая стоимость должна быть определена. Претензии, связанные с оборудованием расходы повторно регулярно оспаривают и должно быть четко определено в контракте OBA.</w:t>
      </w:r>
    </w:p>
    <w:p w:rsidR="009C62A4" w:rsidRPr="009C62A4" w:rsidRDefault="009C62A4" w:rsidP="009C62A4">
      <w:pPr>
        <w:spacing w:before="100" w:after="100" w:line="401" w:lineRule="atLeast"/>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b/>
          <w:bCs/>
          <w:i/>
          <w:iCs/>
          <w:color w:val="000000"/>
          <w:sz w:val="24"/>
          <w:szCs w:val="24"/>
          <w:lang w:eastAsia="ru-RU"/>
        </w:rPr>
        <w:t>Субподрядчик записи</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Субподрядчик записи, включая оплату и счета-фактуры приложений может помочь в проверке сроков и сумм, выставленных субподрядчиков. Субподрядчик расходы обычно составляют значительную часть расходов по проекту, поэтому надлежащие проверки этих расходов является существенным. В той степени, субподрядчик выполняет свою работу на безвозмездной основе стоимости, все виды документов, ранее рассматриваемые в этом разделе, такие как работа стоимость отчетов, начисление заработной платы отчетов, налоговых деклараций и т.д., могут быть необходимы для проверки расходов субподрядчика. Особое внимание на субподрядчиков по OBA обсуждается более подробно в су bsequent разделе этой статьи.</w:t>
      </w:r>
    </w:p>
    <w:p w:rsidR="009C62A4" w:rsidRPr="009C62A4" w:rsidRDefault="009C62A4" w:rsidP="009C62A4">
      <w:pPr>
        <w:spacing w:before="100" w:after="100" w:line="401" w:lineRule="atLeast"/>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b/>
          <w:bCs/>
          <w:color w:val="000000"/>
          <w:sz w:val="24"/>
          <w:szCs w:val="24"/>
          <w:lang w:eastAsia="ru-RU"/>
        </w:rPr>
        <w:t>Расходы на осуществление и выполнение OBA</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 xml:space="preserve">В связи с в режиме реального времени требования пересмотра стоимости проекта в OBA, дополнительные расходы могут возникнуть между сторонами, которые иначе не существовало бы в традиционных бухгалтерских проекта. Как правило, он т владелец будет иметь большую стоимость, чем нести подрядчик в реализации OBA, которые могут потребоваться более крупные и сложные персонала на месте. Расширение роли владельца в процессе рассмотрения OBA современные данные о расходах и сотрудничает с подрядчиком в проекте решения могут потребоваться дополнительные или более </w:t>
      </w:r>
      <w:r w:rsidRPr="009C62A4">
        <w:rPr>
          <w:rFonts w:ascii="Times New Roman" w:eastAsia="Times New Roman" w:hAnsi="Times New Roman" w:cs="Times New Roman"/>
          <w:color w:val="000000"/>
          <w:sz w:val="24"/>
          <w:szCs w:val="24"/>
          <w:lang w:eastAsia="ru-RU"/>
        </w:rPr>
        <w:lastRenderedPageBreak/>
        <w:t>качественные, кадровые, чем обычно. Кроме того, владелец может понести дополнительные расходы, связанные с аппаратным и программным обеспечением, необходимым для реализации в реальном времени обмен даты. </w:t>
      </w:r>
      <w:r w:rsidRPr="009C62A4">
        <w:rPr>
          <w:rFonts w:ascii="Times New Roman" w:eastAsia="Times New Roman" w:hAnsi="Times New Roman" w:cs="Times New Roman"/>
          <w:b/>
          <w:bCs/>
          <w:color w:val="000000"/>
          <w:sz w:val="24"/>
          <w:szCs w:val="24"/>
          <w:lang w:eastAsia="ru-RU"/>
        </w:rPr>
        <w:t>  </w:t>
      </w:r>
      <w:r w:rsidRPr="009C62A4">
        <w:rPr>
          <w:rFonts w:ascii="Times New Roman" w:eastAsia="Times New Roman" w:hAnsi="Times New Roman" w:cs="Times New Roman"/>
          <w:color w:val="000000"/>
          <w:sz w:val="24"/>
          <w:szCs w:val="24"/>
          <w:lang w:eastAsia="ru-RU"/>
        </w:rPr>
        <w:t>Что касается </w:t>
      </w:r>
      <w:r w:rsidRPr="009C62A4">
        <w:rPr>
          <w:rFonts w:ascii="Times New Roman" w:eastAsia="Times New Roman" w:hAnsi="Times New Roman" w:cs="Times New Roman"/>
          <w:b/>
          <w:bCs/>
          <w:color w:val="000000"/>
          <w:sz w:val="24"/>
          <w:szCs w:val="24"/>
          <w:lang w:eastAsia="ru-RU"/>
        </w:rPr>
        <w:t>подрядчика,</w:t>
      </w:r>
      <w:r w:rsidRPr="009C62A4">
        <w:rPr>
          <w:rFonts w:ascii="Times New Roman" w:eastAsia="Times New Roman" w:hAnsi="Times New Roman" w:cs="Times New Roman"/>
          <w:color w:val="000000"/>
          <w:sz w:val="24"/>
          <w:szCs w:val="24"/>
          <w:lang w:eastAsia="ru-RU"/>
        </w:rPr>
        <w:t> м Ост бухгалтерских записей и процессов, присущих OBA уже внутренне используются любые мопытных подрядчиков. Минимальные дополнительные увеличение расходов может понести подрядчика в обеспечении записей в системе ППР. Подрядчик будет в первую очередь нести дополнительные расходы, связанные с внешним установление процедур и методов аудита, которые будут использоваться через Тион длительности проекта. Тем не менее, эти затраты могут быть компенсированы путем экономии времени на завершение проекта для окончательного вопросы бухгалтерского учета, которые могут быть рассмотрены в ходе процесса OBA.  </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Стороны могут рассчитывать на дополнительные инвестиции времени и денег на начальных этапах создания расположение OBA. Соображения должны быть сделаны для приобретениядополнительный персонал, компьютеры и лицензии для размещения дополнительного аудита. Кроме того, время придется проводить уточнения и реализации точных процедур и уровня детализации, которые будут включены в процесс OBA. После первоначального запуска фазы, усилия, необходимые подрядчиком и владельцем не следует ожидать, будет заметно отличаться от количества времени, введены в типичном ежемесячный обзор приложения оплаты.  </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Хотя желательно с точки зрения владельца просить многочисленные уровни подрядчиком документов, предел досягаемости концепции ОБА должен быть сохранен. С точки зрения пользователя, преимущества существовать вплоть до проверки расходов, количество установленных и денежных потоков. Каждый из этих атрибутов подрядчика зависит от уникальных проектных документов. В какой-то момент, стоимость рассмотрения нескольких уровней бухгалтерских документов подробно должны быть взвешены против потенциальной экономии или выгод, для реализации проекта.</w:t>
      </w:r>
    </w:p>
    <w:p w:rsidR="009C62A4" w:rsidRPr="009C62A4" w:rsidRDefault="009C62A4" w:rsidP="009C62A4">
      <w:pPr>
        <w:spacing w:before="100" w:after="100" w:line="401" w:lineRule="atLeast"/>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b/>
          <w:bCs/>
          <w:color w:val="000000"/>
          <w:sz w:val="24"/>
          <w:szCs w:val="24"/>
          <w:lang w:eastAsia="ru-RU"/>
        </w:rPr>
        <w:t>Создание Допустимая / Disallowable расходы</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 xml:space="preserve">Во время заключения договора, определяющие четкий и исчерпывающий перечень допустимых и disallowable стоимость проекта выгодно для заинтересованных сторон. Не все расходы по проекту являются приемлемыми для владельца проекта.   Как правило, затраты на дому подрядчика офис (от проекта), неисправная работа, и общая неэффективность или запрещено, или оспорена собственником.   В рамках ППР, владелец может быть связан с периодическими решения относительно планирования рабочей силы устранения определенных конце проекта сюрпризы, недоразумения и споры.   По мере </w:t>
      </w:r>
      <w:r w:rsidRPr="009C62A4">
        <w:rPr>
          <w:rFonts w:ascii="Times New Roman" w:eastAsia="Times New Roman" w:hAnsi="Times New Roman" w:cs="Times New Roman"/>
          <w:color w:val="000000"/>
          <w:sz w:val="24"/>
          <w:szCs w:val="24"/>
          <w:lang w:eastAsia="ru-RU"/>
        </w:rPr>
        <w:lastRenderedPageBreak/>
        <w:t>того, договор может конкретно определить компоненты и допустимые disallowable расходы, споры будут сведены к минимуму.  </w:t>
      </w:r>
    </w:p>
    <w:p w:rsidR="009C62A4" w:rsidRPr="009C62A4" w:rsidRDefault="009C62A4" w:rsidP="009C62A4">
      <w:pPr>
        <w:spacing w:before="100" w:after="100" w:line="401" w:lineRule="atLeast"/>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b/>
          <w:bCs/>
          <w:i/>
          <w:iCs/>
          <w:color w:val="000000"/>
          <w:sz w:val="24"/>
          <w:szCs w:val="24"/>
          <w:lang w:eastAsia="ru-RU"/>
        </w:rPr>
        <w:t>.</w:t>
      </w:r>
      <w:r w:rsidRPr="009C62A4">
        <w:rPr>
          <w:rFonts w:ascii="Times New Roman" w:eastAsia="Times New Roman" w:hAnsi="Times New Roman" w:cs="Times New Roman"/>
          <w:color w:val="000000"/>
          <w:sz w:val="24"/>
          <w:szCs w:val="24"/>
          <w:lang w:eastAsia="ru-RU"/>
        </w:rPr>
        <w:t> </w:t>
      </w:r>
      <w:r w:rsidRPr="009C62A4">
        <w:rPr>
          <w:rFonts w:ascii="Times New Roman" w:eastAsia="Times New Roman" w:hAnsi="Times New Roman" w:cs="Times New Roman"/>
          <w:b/>
          <w:bCs/>
          <w:i/>
          <w:iCs/>
          <w:color w:val="000000"/>
          <w:sz w:val="24"/>
          <w:szCs w:val="24"/>
          <w:lang w:eastAsia="ru-RU"/>
        </w:rPr>
        <w:t>              Виды расходов</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Стоимость возмещения контракты требуют тщательного накопления стоимости и отчетности. Расходы подрядчика можно разделить на следующие основные категории:  </w:t>
      </w:r>
    </w:p>
    <w:p w:rsidR="009C62A4" w:rsidRPr="009C62A4" w:rsidRDefault="009C62A4" w:rsidP="009C62A4">
      <w:pPr>
        <w:spacing w:before="100" w:after="100" w:line="401" w:lineRule="atLeast"/>
        <w:ind w:left="840" w:hanging="36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1. </w:t>
      </w:r>
      <w:r w:rsidRPr="009C62A4">
        <w:rPr>
          <w:rFonts w:ascii="Times New Roman" w:eastAsia="Times New Roman" w:hAnsi="Times New Roman" w:cs="Times New Roman"/>
          <w:color w:val="000000"/>
          <w:sz w:val="14"/>
          <w:szCs w:val="14"/>
          <w:lang w:eastAsia="ru-RU"/>
        </w:rPr>
        <w:t> </w:t>
      </w:r>
      <w:r w:rsidRPr="009C62A4">
        <w:rPr>
          <w:rFonts w:ascii="Times New Roman" w:eastAsia="Times New Roman" w:hAnsi="Times New Roman" w:cs="Times New Roman"/>
          <w:color w:val="000000"/>
          <w:sz w:val="14"/>
          <w:lang w:eastAsia="ru-RU"/>
        </w:rPr>
        <w:t> </w:t>
      </w:r>
      <w:r w:rsidRPr="009C62A4">
        <w:rPr>
          <w:rFonts w:ascii="Times New Roman" w:eastAsia="Times New Roman" w:hAnsi="Times New Roman" w:cs="Times New Roman"/>
          <w:color w:val="000000"/>
          <w:sz w:val="24"/>
          <w:szCs w:val="24"/>
          <w:lang w:eastAsia="ru-RU"/>
        </w:rPr>
        <w:t>Материальные издержки</w:t>
      </w:r>
    </w:p>
    <w:p w:rsidR="009C62A4" w:rsidRPr="009C62A4" w:rsidRDefault="009C62A4" w:rsidP="009C62A4">
      <w:pPr>
        <w:spacing w:before="100" w:after="100" w:line="401" w:lineRule="atLeast"/>
        <w:ind w:left="840" w:hanging="36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2. </w:t>
      </w:r>
      <w:r w:rsidRPr="009C62A4">
        <w:rPr>
          <w:rFonts w:ascii="Times New Roman" w:eastAsia="Times New Roman" w:hAnsi="Times New Roman" w:cs="Times New Roman"/>
          <w:color w:val="000000"/>
          <w:sz w:val="14"/>
          <w:szCs w:val="14"/>
          <w:lang w:eastAsia="ru-RU"/>
        </w:rPr>
        <w:t> </w:t>
      </w:r>
      <w:r w:rsidRPr="009C62A4">
        <w:rPr>
          <w:rFonts w:ascii="Times New Roman" w:eastAsia="Times New Roman" w:hAnsi="Times New Roman" w:cs="Times New Roman"/>
          <w:color w:val="000000"/>
          <w:sz w:val="14"/>
          <w:lang w:eastAsia="ru-RU"/>
        </w:rPr>
        <w:t> </w:t>
      </w:r>
      <w:r w:rsidRPr="009C62A4">
        <w:rPr>
          <w:rFonts w:ascii="Times New Roman" w:eastAsia="Times New Roman" w:hAnsi="Times New Roman" w:cs="Times New Roman"/>
          <w:color w:val="000000"/>
          <w:sz w:val="24"/>
          <w:szCs w:val="24"/>
          <w:lang w:eastAsia="ru-RU"/>
        </w:rPr>
        <w:t>Имуществу, принадлежащему / расходы на аренду</w:t>
      </w:r>
    </w:p>
    <w:p w:rsidR="009C62A4" w:rsidRPr="009C62A4" w:rsidRDefault="009C62A4" w:rsidP="009C62A4">
      <w:pPr>
        <w:spacing w:before="100" w:after="100" w:line="401" w:lineRule="atLeast"/>
        <w:ind w:left="840" w:hanging="36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3. </w:t>
      </w:r>
      <w:r w:rsidRPr="009C62A4">
        <w:rPr>
          <w:rFonts w:ascii="Times New Roman" w:eastAsia="Times New Roman" w:hAnsi="Times New Roman" w:cs="Times New Roman"/>
          <w:color w:val="000000"/>
          <w:sz w:val="14"/>
          <w:szCs w:val="14"/>
          <w:lang w:eastAsia="ru-RU"/>
        </w:rPr>
        <w:t> </w:t>
      </w:r>
      <w:r w:rsidRPr="009C62A4">
        <w:rPr>
          <w:rFonts w:ascii="Times New Roman" w:eastAsia="Times New Roman" w:hAnsi="Times New Roman" w:cs="Times New Roman"/>
          <w:color w:val="000000"/>
          <w:sz w:val="14"/>
          <w:lang w:eastAsia="ru-RU"/>
        </w:rPr>
        <w:t> </w:t>
      </w:r>
      <w:r w:rsidRPr="009C62A4">
        <w:rPr>
          <w:rFonts w:ascii="Times New Roman" w:eastAsia="Times New Roman" w:hAnsi="Times New Roman" w:cs="Times New Roman"/>
          <w:color w:val="000000"/>
          <w:sz w:val="24"/>
          <w:szCs w:val="24"/>
          <w:lang w:eastAsia="ru-RU"/>
        </w:rPr>
        <w:t>Субподрядчик расходы</w:t>
      </w:r>
    </w:p>
    <w:p w:rsidR="009C62A4" w:rsidRPr="009C62A4" w:rsidRDefault="009C62A4" w:rsidP="009C62A4">
      <w:pPr>
        <w:spacing w:before="100" w:after="100" w:line="401" w:lineRule="atLeast"/>
        <w:ind w:left="840" w:hanging="36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4. </w:t>
      </w:r>
      <w:r w:rsidRPr="009C62A4">
        <w:rPr>
          <w:rFonts w:ascii="Times New Roman" w:eastAsia="Times New Roman" w:hAnsi="Times New Roman" w:cs="Times New Roman"/>
          <w:color w:val="000000"/>
          <w:sz w:val="14"/>
          <w:szCs w:val="14"/>
          <w:lang w:eastAsia="ru-RU"/>
        </w:rPr>
        <w:t> </w:t>
      </w:r>
      <w:r w:rsidRPr="009C62A4">
        <w:rPr>
          <w:rFonts w:ascii="Times New Roman" w:eastAsia="Times New Roman" w:hAnsi="Times New Roman" w:cs="Times New Roman"/>
          <w:color w:val="000000"/>
          <w:sz w:val="14"/>
          <w:lang w:eastAsia="ru-RU"/>
        </w:rPr>
        <w:t> </w:t>
      </w:r>
      <w:r w:rsidRPr="009C62A4">
        <w:rPr>
          <w:rFonts w:ascii="Times New Roman" w:eastAsia="Times New Roman" w:hAnsi="Times New Roman" w:cs="Times New Roman"/>
          <w:color w:val="000000"/>
          <w:sz w:val="24"/>
          <w:szCs w:val="24"/>
          <w:lang w:eastAsia="ru-RU"/>
        </w:rPr>
        <w:t>Труда и трудовой нагрузки</w:t>
      </w:r>
    </w:p>
    <w:p w:rsidR="009C62A4" w:rsidRPr="009C62A4" w:rsidRDefault="009C62A4" w:rsidP="009C62A4">
      <w:pPr>
        <w:spacing w:before="100" w:after="100" w:line="401" w:lineRule="atLeast"/>
        <w:ind w:left="840" w:hanging="36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5. </w:t>
      </w:r>
      <w:r w:rsidRPr="009C62A4">
        <w:rPr>
          <w:rFonts w:ascii="Times New Roman" w:eastAsia="Times New Roman" w:hAnsi="Times New Roman" w:cs="Times New Roman"/>
          <w:color w:val="000000"/>
          <w:sz w:val="14"/>
          <w:szCs w:val="14"/>
          <w:lang w:eastAsia="ru-RU"/>
        </w:rPr>
        <w:t> </w:t>
      </w:r>
      <w:r w:rsidRPr="009C62A4">
        <w:rPr>
          <w:rFonts w:ascii="Times New Roman" w:eastAsia="Times New Roman" w:hAnsi="Times New Roman" w:cs="Times New Roman"/>
          <w:color w:val="000000"/>
          <w:sz w:val="14"/>
          <w:lang w:eastAsia="ru-RU"/>
        </w:rPr>
        <w:t> </w:t>
      </w:r>
      <w:r w:rsidRPr="009C62A4">
        <w:rPr>
          <w:rFonts w:ascii="Times New Roman" w:eastAsia="Times New Roman" w:hAnsi="Times New Roman" w:cs="Times New Roman"/>
          <w:color w:val="000000"/>
          <w:sz w:val="24"/>
          <w:szCs w:val="24"/>
          <w:lang w:eastAsia="ru-RU"/>
        </w:rPr>
        <w:t>Верхнее поле или общие расходы условиях</w:t>
      </w:r>
    </w:p>
    <w:p w:rsidR="009C62A4" w:rsidRPr="009C62A4" w:rsidRDefault="009C62A4" w:rsidP="009C62A4">
      <w:pPr>
        <w:spacing w:before="100" w:after="100" w:line="401" w:lineRule="atLeast"/>
        <w:ind w:left="840" w:hanging="36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6. </w:t>
      </w:r>
      <w:r w:rsidRPr="009C62A4">
        <w:rPr>
          <w:rFonts w:ascii="Times New Roman" w:eastAsia="Times New Roman" w:hAnsi="Times New Roman" w:cs="Times New Roman"/>
          <w:color w:val="000000"/>
          <w:sz w:val="14"/>
          <w:szCs w:val="14"/>
          <w:lang w:eastAsia="ru-RU"/>
        </w:rPr>
        <w:t> </w:t>
      </w:r>
      <w:r w:rsidRPr="009C62A4">
        <w:rPr>
          <w:rFonts w:ascii="Times New Roman" w:eastAsia="Times New Roman" w:hAnsi="Times New Roman" w:cs="Times New Roman"/>
          <w:color w:val="000000"/>
          <w:sz w:val="14"/>
          <w:lang w:eastAsia="ru-RU"/>
        </w:rPr>
        <w:t> </w:t>
      </w:r>
      <w:r w:rsidRPr="009C62A4">
        <w:rPr>
          <w:rFonts w:ascii="Times New Roman" w:eastAsia="Times New Roman" w:hAnsi="Times New Roman" w:cs="Times New Roman"/>
          <w:color w:val="000000"/>
          <w:sz w:val="24"/>
          <w:szCs w:val="24"/>
          <w:lang w:eastAsia="ru-RU"/>
        </w:rPr>
        <w:t>Отчет о прибылях и / или домашнего офиса Накладные расходы</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Эти категории расходов, как правило, сообщали по категориям расходов в пределах вида работ. Проект вида работ могут быть разделены на категории использования пробоя CSI работы структуры, которая включает в себя последовательное количество видов работ для разделения Карьеры, бетон, сталь, механические, электрические, гипсокартона и т.д. Точность rting стоимость РЕПО, как правило, ответственность подрядчика, но хозяин я должен разделить усердие подрядчика при рассмотрении различных скоростях счета.</w:t>
      </w:r>
    </w:p>
    <w:p w:rsidR="009C62A4" w:rsidRPr="009C62A4" w:rsidRDefault="009C62A4" w:rsidP="009C62A4">
      <w:pPr>
        <w:spacing w:before="100" w:after="100" w:line="401" w:lineRule="atLeast"/>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b/>
          <w:bCs/>
          <w:i/>
          <w:iCs/>
          <w:color w:val="000000"/>
          <w:sz w:val="24"/>
          <w:szCs w:val="24"/>
          <w:lang w:eastAsia="ru-RU"/>
        </w:rPr>
        <w:t>б.</w:t>
      </w:r>
      <w:r w:rsidRPr="009C62A4">
        <w:rPr>
          <w:rFonts w:ascii="Times New Roman" w:eastAsia="Times New Roman" w:hAnsi="Times New Roman" w:cs="Times New Roman"/>
          <w:color w:val="000000"/>
          <w:sz w:val="24"/>
          <w:szCs w:val="24"/>
          <w:lang w:eastAsia="ru-RU"/>
        </w:rPr>
        <w:t> </w:t>
      </w:r>
      <w:r w:rsidRPr="009C62A4">
        <w:rPr>
          <w:rFonts w:ascii="Times New Roman" w:eastAsia="Times New Roman" w:hAnsi="Times New Roman" w:cs="Times New Roman"/>
          <w:b/>
          <w:bCs/>
          <w:i/>
          <w:iCs/>
          <w:color w:val="000000"/>
          <w:sz w:val="24"/>
          <w:szCs w:val="24"/>
          <w:lang w:eastAsia="ru-RU"/>
        </w:rPr>
        <w:t>              Исключения / Специальные ситуациям касается стоимости Материалы</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Хотя стоимость возмещаемых договор требует отчетности допустимых расходов для получения платежа, за некоторыми исключениями или в особых ситуациях может быть вкл luded в договоре, который изменяет строгих требований затраты плюс договоренности до GMP, например. Каждый из этих исключений и особых ситуациях будут обсуждаться в этом разделе.</w:t>
      </w:r>
    </w:p>
    <w:p w:rsidR="009C62A4" w:rsidRPr="009C62A4" w:rsidRDefault="009C62A4" w:rsidP="009C62A4">
      <w:pPr>
        <w:spacing w:before="100" w:after="100" w:line="401" w:lineRule="atLeast"/>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b/>
          <w:bCs/>
          <w:i/>
          <w:iCs/>
          <w:color w:val="000000"/>
          <w:sz w:val="24"/>
          <w:szCs w:val="24"/>
          <w:lang w:eastAsia="ru-RU"/>
        </w:rPr>
        <w:t>1.</w:t>
      </w:r>
      <w:r w:rsidRPr="009C62A4">
        <w:rPr>
          <w:rFonts w:ascii="Times New Roman" w:eastAsia="Times New Roman" w:hAnsi="Times New Roman" w:cs="Times New Roman"/>
          <w:color w:val="000000"/>
          <w:sz w:val="24"/>
          <w:szCs w:val="24"/>
          <w:lang w:eastAsia="ru-RU"/>
        </w:rPr>
        <w:t> </w:t>
      </w:r>
      <w:r w:rsidRPr="009C62A4">
        <w:rPr>
          <w:rFonts w:ascii="Times New Roman" w:eastAsia="Times New Roman" w:hAnsi="Times New Roman" w:cs="Times New Roman"/>
          <w:b/>
          <w:bCs/>
          <w:i/>
          <w:iCs/>
          <w:color w:val="000000"/>
          <w:sz w:val="24"/>
          <w:szCs w:val="24"/>
          <w:lang w:eastAsia="ru-RU"/>
        </w:rPr>
        <w:t>              Группа цен или ставок</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Для упрощения отчетности на подрядчика, а также упростить процесс рассмотрения для владельца, часто стороны согласятся на использование ставок в биллинг труда, трудовые нагрузки, управление, материалов, накладные расходы домашнего офиса или оборудования.  </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b/>
          <w:bCs/>
          <w:color w:val="000000"/>
          <w:sz w:val="24"/>
          <w:szCs w:val="24"/>
          <w:lang w:eastAsia="ru-RU"/>
        </w:rPr>
        <w:t>Цены для труда и трудовой нагрузки</w:t>
      </w:r>
      <w:r w:rsidRPr="009C62A4">
        <w:rPr>
          <w:rFonts w:ascii="Times New Roman" w:eastAsia="Times New Roman" w:hAnsi="Times New Roman" w:cs="Times New Roman"/>
          <w:color w:val="000000"/>
          <w:sz w:val="24"/>
          <w:szCs w:val="24"/>
          <w:lang w:eastAsia="ru-RU"/>
        </w:rPr>
        <w:t xml:space="preserve"> - В различных рабочих и управленческого персонала получать различные ставки оплаты труда, важно, чтобы подрядчик точно сообщать о таких фактических различий стоимости. Труд эскалация может привести к </w:t>
      </w:r>
      <w:r w:rsidRPr="009C62A4">
        <w:rPr>
          <w:rFonts w:ascii="Times New Roman" w:eastAsia="Times New Roman" w:hAnsi="Times New Roman" w:cs="Times New Roman"/>
          <w:color w:val="000000"/>
          <w:sz w:val="24"/>
          <w:szCs w:val="24"/>
          <w:lang w:eastAsia="ru-RU"/>
        </w:rPr>
        <w:lastRenderedPageBreak/>
        <w:t>подрядчику увеличить счетов для физических лиц или сделок.   Бонусы могут быть типичными для подрядчика платить, но эта практика может встретить сопротивление со стороны владельца, стоимость работ.   Кроме того, трудовой нагрузки может изменяться не только работник, но и период в течение года. Некоторые компоненты бремя труда может применяться только к первому прирост заработной платы работников ведущих различий в общей нагрузки в течение года.</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Чтобы упростить труд счетов и свести к минимуму разногласия по поводу тарификации труда, определенные переговоры могут привести к созданию труда, управления и нагрузки допустимые ставки вместо фактических затрат. В таких ситуациях, бонусы и вопросы труда эскалации можно избежать (если бонусы не допускаются и цены приведены в соответствующих случаях по крайней мере в течение срока действия договора). Если ставки установлены, необходимо позаботиться, чтобы указать отдельные ставки будут использоваться для сверхурочной работы, или ставки будут включать тип премию возместить подрядчику ожидаемых сверхурочных часов. Отя подрядчик может компенсировать рабочим временем и половину заработной платы за сверхурочную работу, труд бремя обычно снижается до уровня меньше, чем прямые ставки рабочего времени нагрузки. Таким образом, любые платежные сверхурочной работы в полтора раза обычной ставке время чрезмерно компенсирует подрядчику. Наконец, ставки иногда отождествляют различных профессий и уровней в торговле (подмастерье электрика, например).   Обычно проекты укомплектованы различными уровнями ученика с в то время как контракт может определить только созерцать или ставка для подмастерьев. владелец должен определить тип документации, которые должны будут определить, какие рабочие вписываются в определенную скорость категории. Кроме того, собственник может потребовать включенного в перечень лица для выполнения работ в перечисленных категорий торговли на получение указанной компенсации ставки. Если мастер электрик выполняет общую очистку, установленной ставки может включать в себя сокращение признавая, что чем выше уровень квалифицированного не в полной мере распространяются на менее квалифицированных деятельности.</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b/>
          <w:bCs/>
          <w:color w:val="000000"/>
          <w:sz w:val="24"/>
          <w:szCs w:val="24"/>
          <w:lang w:eastAsia="ru-RU"/>
        </w:rPr>
        <w:t>Прожиточный</w:t>
      </w:r>
      <w:r w:rsidRPr="009C62A4">
        <w:rPr>
          <w:rFonts w:ascii="Times New Roman" w:eastAsia="Times New Roman" w:hAnsi="Times New Roman" w:cs="Times New Roman"/>
          <w:color w:val="000000"/>
          <w:sz w:val="24"/>
          <w:szCs w:val="24"/>
          <w:lang w:eastAsia="ru-RU"/>
        </w:rPr>
        <w:t xml:space="preserve"> - Зачастую, менеджеры или строителей укомплектованы на проекты за пределами своего места жительства. В этих случаях возмещение расходов на сотрудников питание, поездки, и / или расходов на жилье может быть целесообразно. Вместо оплаты фактических ежемесячных расходов работника, блок тарифы для существования количество может быть установлено.В контракте должны быть четко определить, кто имеет право на получение такого возмещения и ставки возмещения. Факторы, влияющие на стоимость существования возмещение может </w:t>
      </w:r>
      <w:r w:rsidRPr="009C62A4">
        <w:rPr>
          <w:rFonts w:ascii="Times New Roman" w:eastAsia="Times New Roman" w:hAnsi="Times New Roman" w:cs="Times New Roman"/>
          <w:color w:val="000000"/>
          <w:sz w:val="24"/>
          <w:szCs w:val="24"/>
          <w:lang w:eastAsia="ru-RU"/>
        </w:rPr>
        <w:lastRenderedPageBreak/>
        <w:t>включать в себя региональный прожиточный минимум факторов, наличие местного жилья и уровень жизни ожиданий. Прожиточный может быть ограничена до восьми часов в день или уменьшены по рабочим дням менее восьми часов, если он определен как почасовой скорость.</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b/>
          <w:bCs/>
          <w:color w:val="000000"/>
          <w:sz w:val="24"/>
          <w:szCs w:val="24"/>
          <w:lang w:eastAsia="ru-RU"/>
        </w:rPr>
        <w:t>Транспортные средства</w:t>
      </w:r>
      <w:r w:rsidRPr="009C62A4">
        <w:rPr>
          <w:rFonts w:ascii="Times New Roman" w:eastAsia="Times New Roman" w:hAnsi="Times New Roman" w:cs="Times New Roman"/>
          <w:color w:val="000000"/>
          <w:sz w:val="24"/>
          <w:szCs w:val="24"/>
          <w:lang w:eastAsia="ru-RU"/>
        </w:rPr>
        <w:t> - Компании или транспортных средств, принадлежащих сотруднику может быть целесообразным поручить как стоимость проекта. Время на основе ставки могут быть установлены на основе ожидаемого обесценения активов или арендные ставки на сопоставимые средства. Кроме того, потребление на основе ставок, таких как скорость на милю, могут быть установлены более точно отслеживать фактическое использование средств по проекту.</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Оборудование - Вместо фактических расходов, связанных с грузовиков и другого оборудования, установления ставок может быть желательно, чтобы упростить отчетность и анализ требований тарификации фактические затраты на приобретение оборудования. С точки зрения владельца, решения должны приниматься, являются ли такие цены включают использование оборудования во время сверхурочной работы и мобилизации ли, топливо, ремонт и техническое обслуживание включены в установленные ставки. Другие варианты ставка может быть необходимо в том числе такие, как второго курса или снижения оборудования в режиме ожидания или простоя. На крупных проектов это может быть дешевле купить оборудование, а не сдавать в аренду оборудование. Во многих проектах OBA, есть инструменты, которые приобрели счет за и оплачиваются владельцем. Система отслеживания необходимо установить, чтобы отслеживать эти закупки, а также для отслеживания расположения инструментов в ходе реализации проекта, а также в конце проекта. Если дрель сгорает в ходе реализации проекта и отбрасывается, это должно быть задокументировано, так что любой платежной продолжение в ходе реализации проекта прекращается, и в конце проекта не предполагается, что кто-то украл дрель. Хотя эти элементы, как правило, небольшие покупки доллара на основе единого пункта, общая стоимость в течение всего срока реализации проекта может быть большой. В случаях, когда собственник платит за инструменты, средства должны быть переданы собственнику в конце проекта, или продаются вместе с остаточной стоимостью вырученные средства пойдут на владельца.</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 xml:space="preserve">Даже для большой части оборудования она может быть более полезным для проекта приобрести часть оборудования спереди и продать его по окончании проекта, чтобы сэкономить деньги в целом. аренды по сравнению с покупкой должно быть принято решение по каждой крупной единицы оборудования предусмотрено. Процедурной </w:t>
      </w:r>
      <w:r w:rsidRPr="009C62A4">
        <w:rPr>
          <w:rFonts w:ascii="Times New Roman" w:eastAsia="Times New Roman" w:hAnsi="Times New Roman" w:cs="Times New Roman"/>
          <w:color w:val="000000"/>
          <w:sz w:val="24"/>
          <w:szCs w:val="24"/>
          <w:lang w:eastAsia="ru-RU"/>
        </w:rPr>
        <w:lastRenderedPageBreak/>
        <w:t>методологии должны быть на месте в начале проекта с четким определением того, кто будет выступать против аренду купить решение.</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Материал - Материальные затраты, как правило, оплата счетов с поддержкой. Подрядчик может предложить льготный тариф на некоторые материалы, полученные на оптовую скидку, из которых только часть I S используется для проекта владельца. В таком случае, владелец может пройти иммунизацию от потенциальной эскалации материала. Следует проявлять осторожность, чтобы установить протокол проверки использования материалов в такой организации, а также выяснить, является ли возможность эскалации материал входит в установленные нормы. Часто, установленных ставок отмечены как ограничивается указанный период времени.</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br w:type="page"/>
      </w:r>
    </w:p>
    <w:p w:rsidR="009C62A4" w:rsidRPr="009C62A4" w:rsidRDefault="009C62A4" w:rsidP="009C62A4">
      <w:pPr>
        <w:spacing w:before="100" w:after="100" w:line="401" w:lineRule="atLeast"/>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b/>
          <w:bCs/>
          <w:i/>
          <w:iCs/>
          <w:color w:val="000000"/>
          <w:sz w:val="24"/>
          <w:szCs w:val="24"/>
          <w:lang w:eastAsia="ru-RU"/>
        </w:rPr>
        <w:lastRenderedPageBreak/>
        <w:t>2.</w:t>
      </w:r>
      <w:r w:rsidRPr="009C62A4">
        <w:rPr>
          <w:rFonts w:ascii="Times New Roman" w:eastAsia="Times New Roman" w:hAnsi="Times New Roman" w:cs="Times New Roman"/>
          <w:color w:val="000000"/>
          <w:sz w:val="24"/>
          <w:szCs w:val="24"/>
          <w:lang w:eastAsia="ru-RU"/>
        </w:rPr>
        <w:t> </w:t>
      </w:r>
      <w:r w:rsidRPr="009C62A4">
        <w:rPr>
          <w:rFonts w:ascii="Times New Roman" w:eastAsia="Times New Roman" w:hAnsi="Times New Roman" w:cs="Times New Roman"/>
          <w:b/>
          <w:bCs/>
          <w:i/>
          <w:iCs/>
          <w:color w:val="000000"/>
          <w:sz w:val="24"/>
          <w:szCs w:val="24"/>
          <w:lang w:eastAsia="ru-RU"/>
        </w:rPr>
        <w:t>              Пособия</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В стоимость возмещаемых договор, предметы, которые не имеют завершении проекта, владелец решение, или достаточной степенью уверенности могут быть включены в бюджет в качестве подрядчика пособия. Если пособие не превышало и вине подрядчика, договор, как правило, предусматривают увеличение целевой цены или GMP, чтобы покрыть избыток. Затраты представленных в соответствии с учета должны требовать те же подробные счета, или стоимость поддержки, а другие компоненты работы в договоре. В договоре может указать типы допустимых расходов, которые могут быть применены к пособие. Например, в применении расходы на пособия, подрядчик может попытаться назначить пропорциональную долю общих условиях wance алло.Без указанных правил или условий договора указанием допустимых расходов, которые могут быть применены к пособия, споры могут возникать в отношении применения общих затрат условиях учетом пункта.</w:t>
      </w:r>
    </w:p>
    <w:p w:rsidR="009C62A4" w:rsidRPr="009C62A4" w:rsidRDefault="009C62A4" w:rsidP="009C62A4">
      <w:pPr>
        <w:spacing w:before="100" w:after="100" w:line="401" w:lineRule="atLeast"/>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b/>
          <w:bCs/>
          <w:i/>
          <w:iCs/>
          <w:color w:val="000000"/>
          <w:sz w:val="24"/>
          <w:szCs w:val="24"/>
          <w:lang w:eastAsia="ru-RU"/>
        </w:rPr>
        <w:t>3.</w:t>
      </w:r>
      <w:r w:rsidRPr="009C62A4">
        <w:rPr>
          <w:rFonts w:ascii="Times New Roman" w:eastAsia="Times New Roman" w:hAnsi="Times New Roman" w:cs="Times New Roman"/>
          <w:color w:val="000000"/>
          <w:sz w:val="24"/>
          <w:szCs w:val="24"/>
          <w:lang w:eastAsia="ru-RU"/>
        </w:rPr>
        <w:t> </w:t>
      </w:r>
      <w:r w:rsidRPr="009C62A4">
        <w:rPr>
          <w:rFonts w:ascii="Times New Roman" w:eastAsia="Times New Roman" w:hAnsi="Times New Roman" w:cs="Times New Roman"/>
          <w:b/>
          <w:bCs/>
          <w:i/>
          <w:iCs/>
          <w:color w:val="000000"/>
          <w:sz w:val="24"/>
          <w:szCs w:val="24"/>
          <w:lang w:eastAsia="ru-RU"/>
        </w:rPr>
        <w:t>              Непредвиденные обстоятельства</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Как и пособия, четкой контракт будет давать указания относительно того, как случай может быть использован в проекте. Как минимум, представленные в соответствии расходы резервного должны требовать те же подробные резервного копирования информации о стоимости и другие представленные расходы. Кроме того, договор может определить, является ли случай может быть использована для коррекции недостаточности установок или на другие неэффективности подрядчика, который не может считаться допустимой стоимости работ.</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br w:type="page"/>
      </w:r>
    </w:p>
    <w:p w:rsidR="009C62A4" w:rsidRPr="009C62A4" w:rsidRDefault="009C62A4" w:rsidP="009C62A4">
      <w:pPr>
        <w:spacing w:before="100" w:after="100" w:line="401" w:lineRule="atLeast"/>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b/>
          <w:bCs/>
          <w:i/>
          <w:iCs/>
          <w:color w:val="000000"/>
          <w:sz w:val="24"/>
          <w:szCs w:val="24"/>
          <w:lang w:eastAsia="ru-RU"/>
        </w:rPr>
        <w:lastRenderedPageBreak/>
        <w:t>4.</w:t>
      </w:r>
      <w:r w:rsidRPr="009C62A4">
        <w:rPr>
          <w:rFonts w:ascii="Times New Roman" w:eastAsia="Times New Roman" w:hAnsi="Times New Roman" w:cs="Times New Roman"/>
          <w:color w:val="000000"/>
          <w:sz w:val="24"/>
          <w:szCs w:val="24"/>
          <w:lang w:eastAsia="ru-RU"/>
        </w:rPr>
        <w:t> </w:t>
      </w:r>
      <w:r w:rsidRPr="009C62A4">
        <w:rPr>
          <w:rFonts w:ascii="Times New Roman" w:eastAsia="Times New Roman" w:hAnsi="Times New Roman" w:cs="Times New Roman"/>
          <w:b/>
          <w:bCs/>
          <w:i/>
          <w:iCs/>
          <w:color w:val="000000"/>
          <w:sz w:val="24"/>
          <w:szCs w:val="24"/>
          <w:lang w:eastAsia="ru-RU"/>
        </w:rPr>
        <w:t>              Пометки</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Для простоты, определенных надбавок, таких как небольшие инструменты и материалы могут быть согласованы сторонами, которые будут добавлены к труду в процентах. Договор должен определить, какие типы рабочих будет разрешено получать такие надбавки. Как правило, конторские служащие не будут допущены мелкие инструменты разметки. Кроме того, такие надбавки могут быть оспорены, если применяется к задержке ", шоу-до", или в режиме ожидания.</w:t>
      </w:r>
    </w:p>
    <w:p w:rsidR="009C62A4" w:rsidRPr="009C62A4" w:rsidRDefault="009C62A4" w:rsidP="009C62A4">
      <w:pPr>
        <w:spacing w:before="100" w:after="100" w:line="401" w:lineRule="atLeast"/>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b/>
          <w:bCs/>
          <w:i/>
          <w:iCs/>
          <w:color w:val="000000"/>
          <w:sz w:val="24"/>
          <w:szCs w:val="24"/>
          <w:lang w:eastAsia="ru-RU"/>
        </w:rPr>
        <w:t>5.</w:t>
      </w:r>
      <w:r w:rsidRPr="009C62A4">
        <w:rPr>
          <w:rFonts w:ascii="Times New Roman" w:eastAsia="Times New Roman" w:hAnsi="Times New Roman" w:cs="Times New Roman"/>
          <w:color w:val="000000"/>
          <w:sz w:val="24"/>
          <w:szCs w:val="24"/>
          <w:lang w:eastAsia="ru-RU"/>
        </w:rPr>
        <w:t> </w:t>
      </w:r>
      <w:r w:rsidRPr="009C62A4">
        <w:rPr>
          <w:rFonts w:ascii="Times New Roman" w:eastAsia="Times New Roman" w:hAnsi="Times New Roman" w:cs="Times New Roman"/>
          <w:b/>
          <w:bCs/>
          <w:i/>
          <w:iCs/>
          <w:color w:val="000000"/>
          <w:sz w:val="24"/>
          <w:szCs w:val="24"/>
          <w:lang w:eastAsia="ru-RU"/>
        </w:rPr>
        <w:t>              Затраты, как это определено в Руководство по процедурам Подрядчика</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Для целесообразности, подрядчик может упростить объяснение ставок по определению, что ставки или затраты, будет следовать своей компании процедуры эксплуатации. Это положение может быть включено для мобилизации мелких инструментов, суточные, обучение, командировочные, тестирования или других подобных мероприятий или категории расходов.   Владелец должен рассмотреть эти показатели и, возможно, использовать ставки в договоре документами.   Иногда работник руководства оставит открытой возможность корректировки рынка, что владелец может захотеть ограничить или определить на момент заключения договора.</w:t>
      </w:r>
    </w:p>
    <w:p w:rsidR="009C62A4" w:rsidRPr="009C62A4" w:rsidRDefault="009C62A4" w:rsidP="009C62A4">
      <w:pPr>
        <w:spacing w:before="100" w:after="100" w:line="401" w:lineRule="atLeast"/>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b/>
          <w:bCs/>
          <w:color w:val="000000"/>
          <w:sz w:val="24"/>
          <w:szCs w:val="24"/>
          <w:lang w:eastAsia="ru-RU"/>
        </w:rPr>
        <w:t>Затраты владельца</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В любом контракте сценарий, владелец расходы могут стать актуальными в ситуации, когда владелец смотрит на резервное взимать подрядчика, или когда владелец выбирает самостоятельно приобретение материалов или самостоятельно выполнять определяемый объем работ. Затраты владельца может включать в себя управление персоналом и материальными покупки.</w:t>
      </w:r>
    </w:p>
    <w:p w:rsidR="009C62A4" w:rsidRPr="009C62A4" w:rsidRDefault="009C62A4" w:rsidP="009C62A4">
      <w:pPr>
        <w:spacing w:before="100" w:after="100" w:line="401" w:lineRule="atLeast"/>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b/>
          <w:bCs/>
          <w:color w:val="000000"/>
          <w:sz w:val="24"/>
          <w:szCs w:val="24"/>
          <w:lang w:eastAsia="ru-RU"/>
        </w:rPr>
        <w:t>Специальные вопросы для рассмотрения в OBA</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В любой системе ППР осуществляется по проекту, особых ситуаций или областей больший интерес может включать в себя следующее:</w:t>
      </w:r>
    </w:p>
    <w:p w:rsidR="009C62A4" w:rsidRPr="009C62A4" w:rsidRDefault="009C62A4" w:rsidP="009C62A4">
      <w:pPr>
        <w:spacing w:before="100" w:after="100" w:line="401" w:lineRule="atLeast"/>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b/>
          <w:bCs/>
          <w:i/>
          <w:iCs/>
          <w:color w:val="000000"/>
          <w:sz w:val="24"/>
          <w:szCs w:val="24"/>
          <w:lang w:eastAsia="ru-RU"/>
        </w:rPr>
        <w:t>1.</w:t>
      </w:r>
      <w:r w:rsidRPr="009C62A4">
        <w:rPr>
          <w:rFonts w:ascii="Times New Roman" w:eastAsia="Times New Roman" w:hAnsi="Times New Roman" w:cs="Times New Roman"/>
          <w:color w:val="000000"/>
          <w:sz w:val="24"/>
          <w:szCs w:val="24"/>
          <w:lang w:eastAsia="ru-RU"/>
        </w:rPr>
        <w:t> </w:t>
      </w:r>
      <w:r w:rsidRPr="009C62A4">
        <w:rPr>
          <w:rFonts w:ascii="Times New Roman" w:eastAsia="Times New Roman" w:hAnsi="Times New Roman" w:cs="Times New Roman"/>
          <w:b/>
          <w:bCs/>
          <w:i/>
          <w:iCs/>
          <w:color w:val="000000"/>
          <w:sz w:val="24"/>
          <w:szCs w:val="24"/>
          <w:lang w:eastAsia="ru-RU"/>
        </w:rPr>
        <w:t>              Установка ограничения подразумеваемых прибыль в размере</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 xml:space="preserve">Как упоминалось ранее, труд, управление, оборудование и другие расходы могут быть установлены как ставки в стоимость возмещаемых контракта.   Несмотря на то, биллинг ставок становится легче системы для осуществления и контроля, фактически основные затраты на такие ставки не могут быть раскрыты. Под открытым подходом учета книг, эти затраты могут быть доступны для ознакомления. В рамках этого обзора, владелец может обнаружить, что подразумевает прибыль, или маржа, на счет ставки больше, чем когда-либо предполагалось. Чтобы предотвратить такой сюрприз и для восстановления справедливости в установлении цены, при заключении договора, </w:t>
      </w:r>
      <w:r w:rsidRPr="009C62A4">
        <w:rPr>
          <w:rFonts w:ascii="Times New Roman" w:eastAsia="Times New Roman" w:hAnsi="Times New Roman" w:cs="Times New Roman"/>
          <w:color w:val="000000"/>
          <w:sz w:val="24"/>
          <w:szCs w:val="24"/>
          <w:lang w:eastAsia="ru-RU"/>
        </w:rPr>
        <w:lastRenderedPageBreak/>
        <w:t>собственник может понадобиться включить положение, что любые такие курсы, используемые подрядчиком, не может включать в себя маржу больше чем на 10% до 20%, а лучшего. Таким образом, подрядчик склонны устанавливать несправедливые ставки будут подвергаться потенциальной корректировки, основанные на положение, ограничивающее прибыль на справедливое и разумное.</w:t>
      </w:r>
    </w:p>
    <w:p w:rsidR="009C62A4" w:rsidRPr="009C62A4" w:rsidRDefault="009C62A4" w:rsidP="009C62A4">
      <w:pPr>
        <w:spacing w:before="100" w:after="100" w:line="401" w:lineRule="atLeast"/>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b/>
          <w:bCs/>
          <w:i/>
          <w:iCs/>
          <w:color w:val="000000"/>
          <w:sz w:val="24"/>
          <w:szCs w:val="24"/>
          <w:lang w:eastAsia="ru-RU"/>
        </w:rPr>
        <w:t>2.</w:t>
      </w:r>
      <w:r w:rsidRPr="009C62A4">
        <w:rPr>
          <w:rFonts w:ascii="Times New Roman" w:eastAsia="Times New Roman" w:hAnsi="Times New Roman" w:cs="Times New Roman"/>
          <w:color w:val="000000"/>
          <w:sz w:val="24"/>
          <w:szCs w:val="24"/>
          <w:lang w:eastAsia="ru-RU"/>
        </w:rPr>
        <w:t> </w:t>
      </w:r>
      <w:r w:rsidRPr="009C62A4">
        <w:rPr>
          <w:rFonts w:ascii="Times New Roman" w:eastAsia="Times New Roman" w:hAnsi="Times New Roman" w:cs="Times New Roman"/>
          <w:b/>
          <w:bCs/>
          <w:i/>
          <w:iCs/>
          <w:color w:val="000000"/>
          <w:sz w:val="24"/>
          <w:szCs w:val="24"/>
          <w:lang w:eastAsia="ru-RU"/>
        </w:rPr>
        <w:t>              Самостоятельная выполнение работ подрядчиком</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Часто на проекты, генеральные подрядчики могут выбрать самостоятельно выполнять объемы работ вместо субподрядных работ другим лицам. Многие контракты требуют подрядчики, которые стремятся самостоятельно выполнять работу ставку этих областях с другими квалифицированными подрядчиками. Если подрядчик является низкое цену, самостоятельно выполненной работы могут быть предоставлены подрядчиком на основе единовременной суммы. В таких ситуациях, договор в настоящее время содержит подрядчика компенсации элементов, которые единовременно и стоимость плюс. С владельцем преимущество точки зрения, это единовременная сумма метод контрактации гарантирует, что владелец получает конкурентное ценообразование для самостоятельного выполняются области. Особые соображения должны быть приняты в применении открытой бухгалтерской книге в этих сценариях.</w:t>
      </w:r>
    </w:p>
    <w:p w:rsidR="009C62A4" w:rsidRPr="009C62A4" w:rsidRDefault="009C62A4" w:rsidP="009C62A4">
      <w:pPr>
        <w:spacing w:before="100" w:after="100" w:line="401" w:lineRule="atLeast"/>
        <w:ind w:left="840" w:hanging="360"/>
        <w:jc w:val="both"/>
        <w:rPr>
          <w:rFonts w:ascii="Times New Roman" w:eastAsia="Times New Roman" w:hAnsi="Times New Roman" w:cs="Times New Roman"/>
          <w:color w:val="000000"/>
          <w:sz w:val="24"/>
          <w:szCs w:val="24"/>
          <w:lang w:eastAsia="ru-RU"/>
        </w:rPr>
      </w:pPr>
      <w:r w:rsidRPr="009C62A4">
        <w:rPr>
          <w:rFonts w:ascii="Symbol" w:eastAsia="Times New Roman" w:hAnsi="Symbol" w:cs="Times New Roman"/>
          <w:color w:val="000000"/>
          <w:sz w:val="20"/>
          <w:szCs w:val="20"/>
          <w:lang w:eastAsia="ru-RU"/>
        </w:rPr>
        <w:sym w:font="Symbol" w:char="F0B7"/>
      </w:r>
      <w:r w:rsidRPr="009C62A4">
        <w:rPr>
          <w:rFonts w:ascii="Times New Roman" w:eastAsia="Times New Roman" w:hAnsi="Times New Roman" w:cs="Times New Roman"/>
          <w:color w:val="000000"/>
          <w:sz w:val="24"/>
          <w:szCs w:val="24"/>
          <w:lang w:eastAsia="ru-RU"/>
        </w:rPr>
        <w:t> </w:t>
      </w:r>
      <w:r w:rsidRPr="009C62A4">
        <w:rPr>
          <w:rFonts w:ascii="Times New Roman" w:eastAsia="Times New Roman" w:hAnsi="Times New Roman" w:cs="Times New Roman"/>
          <w:color w:val="000000"/>
          <w:sz w:val="14"/>
          <w:szCs w:val="14"/>
          <w:lang w:eastAsia="ru-RU"/>
        </w:rPr>
        <w:t>   </w:t>
      </w:r>
      <w:r w:rsidRPr="009C62A4">
        <w:rPr>
          <w:rFonts w:ascii="Times New Roman" w:eastAsia="Times New Roman" w:hAnsi="Times New Roman" w:cs="Times New Roman"/>
          <w:color w:val="000000"/>
          <w:sz w:val="14"/>
          <w:lang w:eastAsia="ru-RU"/>
        </w:rPr>
        <w:t> </w:t>
      </w:r>
      <w:r w:rsidRPr="009C62A4">
        <w:rPr>
          <w:rFonts w:ascii="Times New Roman" w:eastAsia="Times New Roman" w:hAnsi="Times New Roman" w:cs="Times New Roman"/>
          <w:color w:val="000000"/>
          <w:sz w:val="24"/>
          <w:szCs w:val="24"/>
          <w:lang w:eastAsia="ru-RU"/>
        </w:rPr>
        <w:t>Если генеральный подрядчик вести отдельный бухгалтерский учет своей общих условиях и самостоятельно выполнены объемы работ?</w:t>
      </w:r>
    </w:p>
    <w:p w:rsidR="009C62A4" w:rsidRPr="009C62A4" w:rsidRDefault="009C62A4" w:rsidP="009C62A4">
      <w:pPr>
        <w:spacing w:before="100" w:after="100" w:line="401" w:lineRule="atLeast"/>
        <w:ind w:left="840" w:hanging="360"/>
        <w:jc w:val="both"/>
        <w:rPr>
          <w:rFonts w:ascii="Times New Roman" w:eastAsia="Times New Roman" w:hAnsi="Times New Roman" w:cs="Times New Roman"/>
          <w:color w:val="000000"/>
          <w:sz w:val="24"/>
          <w:szCs w:val="24"/>
          <w:lang w:eastAsia="ru-RU"/>
        </w:rPr>
      </w:pPr>
      <w:r w:rsidRPr="009C62A4">
        <w:rPr>
          <w:rFonts w:ascii="Symbol" w:eastAsia="Times New Roman" w:hAnsi="Symbol" w:cs="Times New Roman"/>
          <w:color w:val="000000"/>
          <w:sz w:val="20"/>
          <w:szCs w:val="20"/>
          <w:lang w:eastAsia="ru-RU"/>
        </w:rPr>
        <w:sym w:font="Symbol" w:char="F0B7"/>
      </w:r>
      <w:r w:rsidRPr="009C62A4">
        <w:rPr>
          <w:rFonts w:ascii="Times New Roman" w:eastAsia="Times New Roman" w:hAnsi="Times New Roman" w:cs="Times New Roman"/>
          <w:color w:val="000000"/>
          <w:sz w:val="24"/>
          <w:szCs w:val="24"/>
          <w:lang w:eastAsia="ru-RU"/>
        </w:rPr>
        <w:t> </w:t>
      </w:r>
      <w:r w:rsidRPr="009C62A4">
        <w:rPr>
          <w:rFonts w:ascii="Times New Roman" w:eastAsia="Times New Roman" w:hAnsi="Times New Roman" w:cs="Times New Roman"/>
          <w:color w:val="000000"/>
          <w:sz w:val="14"/>
          <w:szCs w:val="14"/>
          <w:lang w:eastAsia="ru-RU"/>
        </w:rPr>
        <w:t>   </w:t>
      </w:r>
      <w:r w:rsidRPr="009C62A4">
        <w:rPr>
          <w:rFonts w:ascii="Times New Roman" w:eastAsia="Times New Roman" w:hAnsi="Times New Roman" w:cs="Times New Roman"/>
          <w:color w:val="000000"/>
          <w:sz w:val="14"/>
          <w:lang w:eastAsia="ru-RU"/>
        </w:rPr>
        <w:t> </w:t>
      </w:r>
      <w:r w:rsidRPr="009C62A4">
        <w:rPr>
          <w:rFonts w:ascii="Times New Roman" w:eastAsia="Times New Roman" w:hAnsi="Times New Roman" w:cs="Times New Roman"/>
          <w:color w:val="000000"/>
          <w:sz w:val="24"/>
          <w:szCs w:val="24"/>
          <w:lang w:eastAsia="ru-RU"/>
        </w:rPr>
        <w:t>Является ли владелец получает доступ к обоим наборам записей: единовременная сумма и стоимость возмещаемых часть работы?</w:t>
      </w:r>
    </w:p>
    <w:p w:rsidR="009C62A4" w:rsidRPr="009C62A4" w:rsidRDefault="009C62A4" w:rsidP="009C62A4">
      <w:pPr>
        <w:spacing w:before="100" w:after="100" w:line="401" w:lineRule="atLeast"/>
        <w:ind w:left="840" w:hanging="360"/>
        <w:jc w:val="both"/>
        <w:rPr>
          <w:rFonts w:ascii="Times New Roman" w:eastAsia="Times New Roman" w:hAnsi="Times New Roman" w:cs="Times New Roman"/>
          <w:color w:val="000000"/>
          <w:sz w:val="24"/>
          <w:szCs w:val="24"/>
          <w:lang w:eastAsia="ru-RU"/>
        </w:rPr>
      </w:pPr>
      <w:r w:rsidRPr="009C62A4">
        <w:rPr>
          <w:rFonts w:ascii="Symbol" w:eastAsia="Times New Roman" w:hAnsi="Symbol" w:cs="Times New Roman"/>
          <w:color w:val="000000"/>
          <w:sz w:val="20"/>
          <w:szCs w:val="20"/>
          <w:lang w:eastAsia="ru-RU"/>
        </w:rPr>
        <w:sym w:font="Symbol" w:char="F0B7"/>
      </w:r>
      <w:r w:rsidRPr="009C62A4">
        <w:rPr>
          <w:rFonts w:ascii="Times New Roman" w:eastAsia="Times New Roman" w:hAnsi="Times New Roman" w:cs="Times New Roman"/>
          <w:color w:val="000000"/>
          <w:sz w:val="24"/>
          <w:szCs w:val="24"/>
          <w:lang w:eastAsia="ru-RU"/>
        </w:rPr>
        <w:t> </w:t>
      </w:r>
      <w:r w:rsidRPr="009C62A4">
        <w:rPr>
          <w:rFonts w:ascii="Times New Roman" w:eastAsia="Times New Roman" w:hAnsi="Times New Roman" w:cs="Times New Roman"/>
          <w:color w:val="000000"/>
          <w:sz w:val="14"/>
          <w:szCs w:val="14"/>
          <w:lang w:eastAsia="ru-RU"/>
        </w:rPr>
        <w:t>   </w:t>
      </w:r>
      <w:r w:rsidRPr="009C62A4">
        <w:rPr>
          <w:rFonts w:ascii="Times New Roman" w:eastAsia="Times New Roman" w:hAnsi="Times New Roman" w:cs="Times New Roman"/>
          <w:color w:val="000000"/>
          <w:sz w:val="14"/>
          <w:lang w:eastAsia="ru-RU"/>
        </w:rPr>
        <w:t> </w:t>
      </w:r>
      <w:r w:rsidRPr="009C62A4">
        <w:rPr>
          <w:rFonts w:ascii="Times New Roman" w:eastAsia="Times New Roman" w:hAnsi="Times New Roman" w:cs="Times New Roman"/>
          <w:color w:val="000000"/>
          <w:sz w:val="24"/>
          <w:szCs w:val="24"/>
          <w:lang w:eastAsia="ru-RU"/>
        </w:rPr>
        <w:t>Какие шаги / элементы управления должны быть приняты и реализованы для обеспечения расходов, понесенных подрядчиком отражаются в надлежащей сферы?</w:t>
      </w:r>
    </w:p>
    <w:p w:rsidR="009C62A4" w:rsidRPr="009C62A4" w:rsidRDefault="009C62A4" w:rsidP="009C62A4">
      <w:pPr>
        <w:spacing w:before="100" w:after="100" w:line="401" w:lineRule="atLeast"/>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Контракт необходимо специально рассмотреть эти вопросы при рассмотрении самостоятельно выполненной работы.   Плюсы и минусы каждого из этих соображений, будут обсуждаться отдельно ниже:  </w:t>
      </w:r>
    </w:p>
    <w:p w:rsidR="009C62A4" w:rsidRPr="009C62A4" w:rsidRDefault="009C62A4" w:rsidP="009C62A4">
      <w:pPr>
        <w:spacing w:before="100" w:after="100" w:line="401" w:lineRule="atLeast"/>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b/>
          <w:bCs/>
          <w:i/>
          <w:iCs/>
          <w:color w:val="000000"/>
          <w:sz w:val="24"/>
          <w:szCs w:val="24"/>
          <w:lang w:eastAsia="ru-RU"/>
        </w:rPr>
        <w:t>Если генеральный подрядчик вести отдельный бухгалтерский учет своей общих условиях и самостоятельно выполнены объемы работ?</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 xml:space="preserve">В идеале, подрядчик должен вести раздельный учет и отдельных ее самостоятельно выполненных работ в дополнение к уже необходимые затраты возмещаются объема работ. Отдельное делопроизводство помогает сохранить целостность данных бухгалтерского учета и избегает miscoding элементов между отдельными областями.   Кроме того, отдельный набор учетных записей могут помочь разработать </w:t>
      </w:r>
      <w:r w:rsidRPr="009C62A4">
        <w:rPr>
          <w:rFonts w:ascii="Times New Roman" w:eastAsia="Times New Roman" w:hAnsi="Times New Roman" w:cs="Times New Roman"/>
          <w:color w:val="000000"/>
          <w:sz w:val="24"/>
          <w:szCs w:val="24"/>
          <w:lang w:eastAsia="ru-RU"/>
        </w:rPr>
        <w:lastRenderedPageBreak/>
        <w:t>более длины совершении сделки между подрядчиком выступает в качестве генерального подрядчика и подрядчика выступает в качестве самостоятельного совершенен "субподрядчик". Подрядчик может понести дополнительные административные время поддерживая несколько наборов учетных записей, но эта стоимость может быть номинальной.  </w:t>
      </w:r>
    </w:p>
    <w:p w:rsidR="009C62A4" w:rsidRPr="009C62A4" w:rsidRDefault="009C62A4" w:rsidP="009C62A4">
      <w:pPr>
        <w:spacing w:before="100" w:after="100" w:line="401" w:lineRule="atLeast"/>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b/>
          <w:bCs/>
          <w:i/>
          <w:iCs/>
          <w:color w:val="000000"/>
          <w:sz w:val="24"/>
          <w:szCs w:val="24"/>
          <w:lang w:eastAsia="ru-RU"/>
        </w:rPr>
        <w:t>Является ли владелец получает доступ к обоим наборам записей: единовременная сумма и стоимость возмещаемых часть работы?</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Стоимость подрядчика ведомостей для общей стоимости проекта будет зависеть от открытого процесса учета книгу, но возникает вопрос, является ли его документации затрат на их самостоятельно выполнены объемы работ будут также подлежать открытый процесс учета книгу. Это ключевой вопрос имеет несколько последствий, как для владельца и подрядчика. Поскольку самостоятельно выполнена работа проводится на единовременное пособие, должен владелец все равно, что фактические затраты, понесенные при выполнении работ фиксированной цене?Является подрядчиком поставлены в невыгодное положение из-за необходимости предоставлять эту информацию?</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Есть несколько преимуществ для открытия книг по фиксированной цене субподряд. Во-первых, споры, связанные с ходом работ и составляет завершена легче решить, если фактические расходы, понесенные на сегодняшний день известны обеим сторонам. Кроме того, при условии прозрачности в собственной сфере осуществляется удаляет любые сомнения в правильности кодирования расходов между областями. Переговоры об изменении заказов имеют обтекаемую форму, так как фактические расходы, понесенные при выполнении работ изменился будет виден для обеих сторон. Кроме того, любые ставки, надбавки и другие элементы затрат должны быть стандартизированы между областями работы. Подрядчик не должен получать большую компенсацию в зависимости от того изменении порядка предусмотренные расходы возмещаются объем по сравнению с единовременной суммы объем работы.  </w:t>
      </w:r>
    </w:p>
    <w:p w:rsidR="009C62A4" w:rsidRPr="009C62A4" w:rsidRDefault="009C62A4" w:rsidP="009C62A4">
      <w:pPr>
        <w:spacing w:before="100" w:after="100" w:line="401" w:lineRule="atLeast"/>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b/>
          <w:bCs/>
          <w:i/>
          <w:iCs/>
          <w:color w:val="000000"/>
          <w:sz w:val="24"/>
          <w:szCs w:val="24"/>
          <w:lang w:eastAsia="ru-RU"/>
        </w:rPr>
        <w:t>Какие шаги / элементы управления должны быть приняты и реализованы для обеспечения расходов, понесенных подрядчиком отражаются в надлежащей сферы?</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 xml:space="preserve">Уникальный сценарий возникает тогда, когда генеральный подрядчик выполняет свои общие условия труда на стоимость компенсационной основе, но в настоящее время самостоятельно выполнять другой объем работы под фиксированную сумму. Подрядчик является ответственным за управление и проекта в целом (с точки зрения затрат на безвозмездной основе) и конкретный объем работ (при фиксированном количестве включены в единовременно). Без надлежащего управления, это возможно для </w:t>
      </w:r>
      <w:r w:rsidRPr="009C62A4">
        <w:rPr>
          <w:rFonts w:ascii="Times New Roman" w:eastAsia="Times New Roman" w:hAnsi="Times New Roman" w:cs="Times New Roman"/>
          <w:color w:val="000000"/>
          <w:sz w:val="24"/>
          <w:szCs w:val="24"/>
          <w:lang w:eastAsia="ru-RU"/>
        </w:rPr>
        <w:lastRenderedPageBreak/>
        <w:t>подрядчиков сократить свои расходы на единовременное самостоятельно выполнять объем работ по тарификации владельца, насколько это возможно согласно его стоимость возмещаемых рамки для того, чтобы сократить расходы на фиксированные цены работы. Такие actice пр. служит для увеличения прибыли единовременной суммы объем работы. Часто, размытые линии ответственности между руководством времени непосредственно управлять самостоятельно осуществляется объем по сравнению с координацией проекта в целом дает возможность подрядчику счет этих надзорных и управленческих расходов в качестве возмещения. Следующие виды затрат должны быть тщательно определены и мониторинг:</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b/>
          <w:bCs/>
          <w:color w:val="000000"/>
          <w:sz w:val="24"/>
          <w:szCs w:val="24"/>
          <w:lang w:eastAsia="ru-RU"/>
        </w:rPr>
        <w:t>Расходов на управление</w:t>
      </w:r>
      <w:r w:rsidRPr="009C62A4">
        <w:rPr>
          <w:rFonts w:ascii="Times New Roman" w:eastAsia="Times New Roman" w:hAnsi="Times New Roman" w:cs="Times New Roman"/>
          <w:color w:val="000000"/>
          <w:sz w:val="24"/>
          <w:szCs w:val="24"/>
          <w:lang w:eastAsia="ru-RU"/>
        </w:rPr>
        <w:t> - удельные затраты управления, которые входят в самостоятельной сферы производится по сравнению с теми, которые включены в общее управление проектом должны быть четко определены. Стороны должны ожидать того, самостоятельно выполненную работу требуется менеджер проекта, руководитель и / или исполнительной власти. Кроме того, уровень усилий и способности этих сотрудников делиться своими самостоятельного выполнения работы время с нормальными условиями общее время должны быть рассмотрены и классифицированы.</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b/>
          <w:bCs/>
          <w:color w:val="000000"/>
          <w:sz w:val="24"/>
          <w:szCs w:val="24"/>
          <w:lang w:eastAsia="ru-RU"/>
        </w:rPr>
        <w:t>Очистка</w:t>
      </w:r>
      <w:r w:rsidRPr="009C62A4">
        <w:rPr>
          <w:rFonts w:ascii="Times New Roman" w:eastAsia="Times New Roman" w:hAnsi="Times New Roman" w:cs="Times New Roman"/>
          <w:color w:val="000000"/>
          <w:sz w:val="24"/>
          <w:szCs w:val="24"/>
          <w:lang w:eastAsia="ru-RU"/>
        </w:rPr>
        <w:t> - Как правило, фиксированная цена субподряд областей включают в себя затраты на уборку областей после работы.   В сценарии, где подрядчик выполняет как общие условия работы и самостоятельно выполнены объемы работ, существует возможность дублирования очистки объема работ. Открытое учета книга позволяет владельцу видеть, насколько подрядчик в бюджете, и, понесенные в ее самостоятельно осуществляется очистка, и может способствовать тому, чтобы очистка расходы, связанные с самостоятельной выполненных работ не выставлен счет в соответствии возмещения расходов общего подрядчиков Тора условиях .</w:t>
      </w:r>
    </w:p>
    <w:p w:rsidR="009C62A4" w:rsidRPr="009C62A4" w:rsidRDefault="009C62A4" w:rsidP="009C62A4">
      <w:pPr>
        <w:spacing w:before="100" w:after="100" w:line="401" w:lineRule="atLeast"/>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b/>
          <w:bCs/>
          <w:i/>
          <w:iCs/>
          <w:color w:val="000000"/>
          <w:sz w:val="24"/>
          <w:szCs w:val="24"/>
          <w:lang w:eastAsia="ru-RU"/>
        </w:rPr>
        <w:t>3.</w:t>
      </w:r>
      <w:r w:rsidRPr="009C62A4">
        <w:rPr>
          <w:rFonts w:ascii="Times New Roman" w:eastAsia="Times New Roman" w:hAnsi="Times New Roman" w:cs="Times New Roman"/>
          <w:color w:val="000000"/>
          <w:sz w:val="24"/>
          <w:szCs w:val="24"/>
          <w:lang w:eastAsia="ru-RU"/>
        </w:rPr>
        <w:t> </w:t>
      </w:r>
      <w:r w:rsidRPr="009C62A4">
        <w:rPr>
          <w:rFonts w:ascii="Times New Roman" w:eastAsia="Times New Roman" w:hAnsi="Times New Roman" w:cs="Times New Roman"/>
          <w:b/>
          <w:bCs/>
          <w:i/>
          <w:iCs/>
          <w:color w:val="000000"/>
          <w:sz w:val="24"/>
          <w:szCs w:val="24"/>
          <w:lang w:eastAsia="ru-RU"/>
        </w:rPr>
        <w:t>              Метод предоставления изменение заказов: единовременно по времени и материалам, например.</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 xml:space="preserve">Часто в стоимость возмещаемых расположение договора, изменение заказов предоставляется в виде единовременной суммы образом.   Если такие заказы изменения предоставляются лицом, который также выполняет времени и материалов (T &amp; M), объем работ, уход должен быть внимательным, чтобы гарантировать, что расходы, связанные со сферой единовременной работы не ошибочно применяется к T &amp; M объема работ. Данный обзор является особенно важным, если генеральный подрядчик по возмещению стоимости контракта получает единовременную сумму изменения заказов. OBA может помочь в таком пересмотре базовых затрат для выполнения такой оценки. Для того, чтобы ограничить любые воспринимается стимулы подрядчика злоупотреблять расходов, аудит </w:t>
      </w:r>
      <w:r w:rsidRPr="009C62A4">
        <w:rPr>
          <w:rFonts w:ascii="Times New Roman" w:eastAsia="Times New Roman" w:hAnsi="Times New Roman" w:cs="Times New Roman"/>
          <w:color w:val="000000"/>
          <w:sz w:val="24"/>
          <w:szCs w:val="24"/>
          <w:lang w:eastAsia="ru-RU"/>
        </w:rPr>
        <w:lastRenderedPageBreak/>
        <w:t>OBA, или положения, может включать в себя ограничение на прибыль, которые могут быть получены в изменении порядка единовременно. При таком положении, подрядчик будет обязан доказать, что его расходы, связанные с изменением порядка единовременно составляют определенный процент от суммы заказа изменения. Эти затраты затем будут отделены от любой ценой возмещению часть работы.</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br w:type="page"/>
      </w:r>
    </w:p>
    <w:p w:rsidR="009C62A4" w:rsidRPr="009C62A4" w:rsidRDefault="009C62A4" w:rsidP="009C62A4">
      <w:pPr>
        <w:spacing w:before="100" w:after="100" w:line="401" w:lineRule="atLeast"/>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b/>
          <w:bCs/>
          <w:i/>
          <w:iCs/>
          <w:color w:val="000000"/>
          <w:sz w:val="24"/>
          <w:szCs w:val="24"/>
          <w:lang w:eastAsia="ru-RU"/>
        </w:rPr>
        <w:lastRenderedPageBreak/>
        <w:t>4.</w:t>
      </w:r>
      <w:r w:rsidRPr="009C62A4">
        <w:rPr>
          <w:rFonts w:ascii="Times New Roman" w:eastAsia="Times New Roman" w:hAnsi="Times New Roman" w:cs="Times New Roman"/>
          <w:color w:val="000000"/>
          <w:sz w:val="24"/>
          <w:szCs w:val="24"/>
          <w:lang w:eastAsia="ru-RU"/>
        </w:rPr>
        <w:t> </w:t>
      </w:r>
      <w:r w:rsidRPr="009C62A4">
        <w:rPr>
          <w:rFonts w:ascii="Times New Roman" w:eastAsia="Times New Roman" w:hAnsi="Times New Roman" w:cs="Times New Roman"/>
          <w:b/>
          <w:bCs/>
          <w:i/>
          <w:iCs/>
          <w:color w:val="000000"/>
          <w:sz w:val="24"/>
          <w:szCs w:val="24"/>
          <w:lang w:eastAsia="ru-RU"/>
        </w:rPr>
        <w:t>              Можете ли вы когда-либо доверить подрядчику? / Is м ​​arkup откуда-то?</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Как видно из названия этого раздела шутки, подрядчики могут восприниматься как хотите достичь разметки они считают, что они заслуживают откуда-то. Если процесс OBA хорошо определены, и ОБА обзоры выполняются последовательно и основательно, обе стороны могут понять и осознать преимущества общих целей экономии средств.</w:t>
      </w:r>
    </w:p>
    <w:p w:rsidR="009C62A4" w:rsidRPr="009C62A4" w:rsidRDefault="009C62A4" w:rsidP="009C62A4">
      <w:pPr>
        <w:spacing w:before="100" w:after="100" w:line="401" w:lineRule="atLeast"/>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b/>
          <w:bCs/>
          <w:i/>
          <w:iCs/>
          <w:color w:val="000000"/>
          <w:sz w:val="24"/>
          <w:szCs w:val="24"/>
          <w:lang w:eastAsia="ru-RU"/>
        </w:rPr>
        <w:t>5.</w:t>
      </w:r>
      <w:r w:rsidRPr="009C62A4">
        <w:rPr>
          <w:rFonts w:ascii="Times New Roman" w:eastAsia="Times New Roman" w:hAnsi="Times New Roman" w:cs="Times New Roman"/>
          <w:color w:val="000000"/>
          <w:sz w:val="24"/>
          <w:szCs w:val="24"/>
          <w:lang w:eastAsia="ru-RU"/>
        </w:rPr>
        <w:t> </w:t>
      </w:r>
      <w:r w:rsidRPr="009C62A4">
        <w:rPr>
          <w:rFonts w:ascii="Times New Roman" w:eastAsia="Times New Roman" w:hAnsi="Times New Roman" w:cs="Times New Roman"/>
          <w:b/>
          <w:bCs/>
          <w:i/>
          <w:iCs/>
          <w:color w:val="000000"/>
          <w:sz w:val="24"/>
          <w:szCs w:val="24"/>
          <w:lang w:eastAsia="ru-RU"/>
        </w:rPr>
        <w:t>              Определение того, OBA требования должны стекать с субподрядчиками</w:t>
      </w:r>
      <w:r w:rsidRPr="009C62A4">
        <w:rPr>
          <w:rFonts w:ascii="Times New Roman" w:eastAsia="Times New Roman" w:hAnsi="Times New Roman" w:cs="Times New Roman"/>
          <w:color w:val="000000"/>
          <w:sz w:val="24"/>
          <w:szCs w:val="24"/>
          <w:lang w:eastAsia="ru-RU"/>
        </w:rPr>
        <w:t> </w:t>
      </w:r>
      <w:r w:rsidRPr="009C62A4">
        <w:rPr>
          <w:rFonts w:ascii="Times New Roman" w:eastAsia="Times New Roman" w:hAnsi="Times New Roman" w:cs="Times New Roman"/>
          <w:b/>
          <w:bCs/>
          <w:i/>
          <w:iCs/>
          <w:color w:val="000000"/>
          <w:sz w:val="24"/>
          <w:szCs w:val="24"/>
          <w:lang w:eastAsia="ru-RU"/>
        </w:rPr>
        <w:t> </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Большая часть расходов на проект часто субподряд других подрядчиков, генерального подрядчика. Таким образом, любая полезность открытых бухгалтерских книг уменьшается, если только небольшая часть стоимости записи "открытой" для рассмотрения. Ключевым моментом, чтобы открыть книгу учета, является ли открытой положения книги могут быть переданы и включены во все основные субподряда заключенных генеральным подрядчиком.</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Использование открытого метода учета книги с субподрядчиками и намного более полезно для возмещения затрат по сравнению с единовременной суммы проекта.   Тем не менее, в любой тип проекта, использование открытого книги учета для подрядчиков будет полезным в изменении порядка разрешения споров или иных затрат.   Кроме того, открытые учета книги могут помочь в оценке процент выполненных работ на сумму единовременно проектов.   Имея полную информацию о фактических затратах на сегодняшний день могли бы помочь с оценкой того, насколько работа была завершена, когда используется в сочетании с оценкой на месте работы.</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br w:type="page"/>
      </w:r>
    </w:p>
    <w:p w:rsidR="009C62A4" w:rsidRPr="009C62A4" w:rsidRDefault="009C62A4" w:rsidP="009C62A4">
      <w:pPr>
        <w:spacing w:before="100" w:after="100" w:line="401" w:lineRule="atLeast"/>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b/>
          <w:bCs/>
          <w:i/>
          <w:iCs/>
          <w:color w:val="000000"/>
          <w:sz w:val="24"/>
          <w:szCs w:val="24"/>
          <w:lang w:eastAsia="ru-RU"/>
        </w:rPr>
        <w:lastRenderedPageBreak/>
        <w:t>6.</w:t>
      </w:r>
      <w:r w:rsidRPr="009C62A4">
        <w:rPr>
          <w:rFonts w:ascii="Times New Roman" w:eastAsia="Times New Roman" w:hAnsi="Times New Roman" w:cs="Times New Roman"/>
          <w:color w:val="000000"/>
          <w:sz w:val="24"/>
          <w:szCs w:val="24"/>
          <w:lang w:eastAsia="ru-RU"/>
        </w:rPr>
        <w:t> </w:t>
      </w:r>
      <w:r w:rsidRPr="009C62A4">
        <w:rPr>
          <w:rFonts w:ascii="Times New Roman" w:eastAsia="Times New Roman" w:hAnsi="Times New Roman" w:cs="Times New Roman"/>
          <w:b/>
          <w:bCs/>
          <w:i/>
          <w:iCs/>
          <w:color w:val="000000"/>
          <w:sz w:val="24"/>
          <w:szCs w:val="24"/>
          <w:lang w:eastAsia="ru-RU"/>
        </w:rPr>
        <w:t>              ОБА могут быть использованы в условиях ставок / цен за единицу</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Открытая Книга учета может быть полезна в первых переговорах конце единица ставки для проекта. Обе стороны, имеющие доступ к фактическим затратам труда подрядчика и принадлежащие цены оборудования может помочь в установлении тарифов на единицу использования на протяжении всего проекта. Биллинг тарифов на труд может быть установлен использованием реальной заработной платы и нагрузки, что подрядчик понести для своих сотрудников. Только переменный фактор был бы любые суммы накладных расходов и прибыли, которые будут включены в платежную ставки. Кроме того, оборудование ставки могут быть более легко переговоров, если полное раскрытие Затраты на приобретение оборудования, коэффициент использования ресурсов и затрат на обслуживание были переданы владельцу.  </w:t>
      </w:r>
    </w:p>
    <w:p w:rsidR="009C62A4" w:rsidRPr="009C62A4" w:rsidRDefault="009C62A4" w:rsidP="009C62A4">
      <w:pPr>
        <w:spacing w:before="100" w:after="100" w:line="401" w:lineRule="atLeast"/>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b/>
          <w:bCs/>
          <w:i/>
          <w:iCs/>
          <w:color w:val="000000"/>
          <w:sz w:val="24"/>
          <w:szCs w:val="24"/>
          <w:lang w:eastAsia="ru-RU"/>
        </w:rPr>
        <w:t>7.</w:t>
      </w:r>
      <w:r w:rsidRPr="009C62A4">
        <w:rPr>
          <w:rFonts w:ascii="Times New Roman" w:eastAsia="Times New Roman" w:hAnsi="Times New Roman" w:cs="Times New Roman"/>
          <w:color w:val="000000"/>
          <w:sz w:val="24"/>
          <w:szCs w:val="24"/>
          <w:lang w:eastAsia="ru-RU"/>
        </w:rPr>
        <w:t> </w:t>
      </w:r>
      <w:r w:rsidRPr="009C62A4">
        <w:rPr>
          <w:rFonts w:ascii="Times New Roman" w:eastAsia="Times New Roman" w:hAnsi="Times New Roman" w:cs="Times New Roman"/>
          <w:b/>
          <w:bCs/>
          <w:i/>
          <w:iCs/>
          <w:color w:val="000000"/>
          <w:sz w:val="24"/>
          <w:szCs w:val="24"/>
          <w:lang w:eastAsia="ru-RU"/>
        </w:rPr>
        <w:t>              Потенциальные избыточность</w:t>
      </w:r>
      <w:r w:rsidRPr="009C62A4">
        <w:rPr>
          <w:rFonts w:ascii="Times New Roman" w:eastAsia="Times New Roman" w:hAnsi="Times New Roman" w:cs="Times New Roman"/>
          <w:color w:val="000000"/>
          <w:sz w:val="24"/>
          <w:szCs w:val="24"/>
          <w:lang w:eastAsia="ru-RU"/>
        </w:rPr>
        <w:t> </w:t>
      </w:r>
      <w:r w:rsidRPr="009C62A4">
        <w:rPr>
          <w:rFonts w:ascii="Times New Roman" w:eastAsia="Times New Roman" w:hAnsi="Times New Roman" w:cs="Times New Roman"/>
          <w:b/>
          <w:bCs/>
          <w:i/>
          <w:iCs/>
          <w:color w:val="000000"/>
          <w:sz w:val="24"/>
          <w:szCs w:val="24"/>
          <w:lang w:eastAsia="ru-RU"/>
        </w:rPr>
        <w:t>конца проекта аудита OBA</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Многие контракты, в том числе стандартные формы AIA, содержащие контракт язык, который позволяет для завершения работы окончательного учета и аудита, согласования фактических затрат по проекту. С учетом постоянного мониторинга и аудита, которые доступны на протяжении всего проекта под открытым учета книг, окончательный аудит всех представленных отчетов подрядчика стоимость может быть избыточными или ненужными. Для всех практических целей, проект с открытым учета книг, которые были должным образом вводить может решить все вопросы бухгалтерского учета в ходе проекта и могли бы избежать трудоемкой и дорогостоящей процедурой аудиторской всего проекта при его заключении. Кроме того, как усилия подробные проверки стоимости могут возникнуть в ходе реализации проекта, а после завершения проекта, владелец сможет реализовать экономичные предложения, а не просто критика явно чрезмерных расходов после работы.</w:t>
      </w:r>
    </w:p>
    <w:p w:rsidR="009C62A4" w:rsidRPr="009C62A4" w:rsidRDefault="009C62A4" w:rsidP="009C62A4">
      <w:pPr>
        <w:spacing w:before="100" w:after="100" w:line="401" w:lineRule="atLeast"/>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b/>
          <w:bCs/>
          <w:i/>
          <w:iCs/>
          <w:color w:val="000000"/>
          <w:sz w:val="24"/>
          <w:szCs w:val="24"/>
          <w:lang w:eastAsia="ru-RU"/>
        </w:rPr>
        <w:t>8.</w:t>
      </w:r>
      <w:r w:rsidRPr="009C62A4">
        <w:rPr>
          <w:rFonts w:ascii="Times New Roman" w:eastAsia="Times New Roman" w:hAnsi="Times New Roman" w:cs="Times New Roman"/>
          <w:color w:val="000000"/>
          <w:sz w:val="24"/>
          <w:szCs w:val="24"/>
          <w:lang w:eastAsia="ru-RU"/>
        </w:rPr>
        <w:t> </w:t>
      </w:r>
      <w:r w:rsidRPr="009C62A4">
        <w:rPr>
          <w:rFonts w:ascii="Times New Roman" w:eastAsia="Times New Roman" w:hAnsi="Times New Roman" w:cs="Times New Roman"/>
          <w:b/>
          <w:bCs/>
          <w:i/>
          <w:iCs/>
          <w:color w:val="000000"/>
          <w:sz w:val="24"/>
          <w:szCs w:val="24"/>
          <w:lang w:eastAsia="ru-RU"/>
        </w:rPr>
        <w:t>              Потенциальные риски в издании отдельного информации заработной платы и компенсации, которые можно просматривать на нескольких сторон</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Одним из потенциальных недостатков открытого процесса книге является то, что конфиденциальная информация компенсации работник будет распространяться между сторонами и, возможно, быть доступными для других сотрудников. Подрядчики должны быть осторожны в определении типа информации, которая будет доступна и определение конкретных партий, которым будет разрешен для просмотра информации. Должны быть приняты меры для обеспечения того, чтобы потенциально конфиденциальную информацию, надлежащим образом защищены от неправильного распространения.</w:t>
      </w:r>
    </w:p>
    <w:p w:rsidR="009C62A4" w:rsidRPr="009C62A4" w:rsidRDefault="009C62A4" w:rsidP="009C62A4">
      <w:pPr>
        <w:spacing w:before="100" w:after="100" w:line="401" w:lineRule="atLeast"/>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b/>
          <w:bCs/>
          <w:color w:val="000000"/>
          <w:sz w:val="24"/>
          <w:szCs w:val="24"/>
          <w:lang w:eastAsia="ru-RU"/>
        </w:rPr>
        <w:t>Резюме</w:t>
      </w:r>
    </w:p>
    <w:p w:rsidR="009C62A4" w:rsidRPr="009C62A4" w:rsidRDefault="009C62A4" w:rsidP="009C62A4">
      <w:pPr>
        <w:spacing w:before="100" w:after="100" w:line="401" w:lineRule="atLeast"/>
        <w:ind w:firstLine="720"/>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lastRenderedPageBreak/>
        <w:t>При надлежащем сценарий и с соответствующими участниками проекта, использование OBA может привести к преимущества как владелец и подрядчик в том числе снизить общие затраты проекта. Кроме того, некоторые подводные камни в использовании стоимость возмещаемых контракты могут быть устранены путем внедрения рамках OBA. В той степени, финансовые стимулы, которые включены в договор, система ППР могут использоваться для усиления стимулов владельцем и подрядчиком совместно работать в партнерских типа соглашения.</w:t>
      </w:r>
    </w:p>
    <w:p w:rsidR="009C62A4" w:rsidRPr="009C62A4" w:rsidRDefault="009C62A4" w:rsidP="009C62A4">
      <w:pPr>
        <w:spacing w:before="100" w:after="100" w:line="401" w:lineRule="atLeast"/>
        <w:jc w:val="both"/>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b/>
          <w:bCs/>
          <w:color w:val="000000"/>
          <w:sz w:val="24"/>
          <w:szCs w:val="24"/>
          <w:lang w:eastAsia="ru-RU"/>
        </w:rPr>
        <w:t> </w:t>
      </w:r>
    </w:p>
    <w:p w:rsidR="009C62A4" w:rsidRPr="009C62A4" w:rsidRDefault="009C62A4" w:rsidP="009C62A4">
      <w:pPr>
        <w:spacing w:line="225" w:lineRule="atLeast"/>
        <w:jc w:val="right"/>
        <w:rPr>
          <w:rFonts w:ascii="Times New Roman" w:eastAsia="Times New Roman" w:hAnsi="Times New Roman" w:cs="Times New Roman"/>
          <w:color w:val="000000"/>
          <w:sz w:val="24"/>
          <w:szCs w:val="24"/>
          <w:lang w:eastAsia="ru-RU"/>
        </w:rPr>
      </w:pPr>
      <w:r w:rsidRPr="009C62A4">
        <w:rPr>
          <w:rFonts w:ascii="Times New Roman" w:eastAsia="Times New Roman" w:hAnsi="Times New Roman" w:cs="Times New Roman"/>
          <w:color w:val="000000"/>
          <w:sz w:val="24"/>
          <w:szCs w:val="24"/>
          <w:lang w:eastAsia="ru-RU"/>
        </w:rPr>
        <w:t>Страница | 37</w:t>
      </w:r>
    </w:p>
    <w:p w:rsidR="009C62A4" w:rsidRPr="009C62A4" w:rsidRDefault="009C62A4" w:rsidP="009C62A4">
      <w:pPr>
        <w:spacing w:line="213" w:lineRule="atLeast"/>
        <w:rPr>
          <w:rFonts w:ascii="Times New Roman" w:eastAsia="Times New Roman" w:hAnsi="Times New Roman" w:cs="Times New Roman"/>
          <w:color w:val="000000"/>
          <w:lang w:eastAsia="ru-RU"/>
        </w:rPr>
      </w:pPr>
      <w:r w:rsidRPr="009C62A4">
        <w:rPr>
          <w:rFonts w:ascii="Calibri" w:eastAsia="Times New Roman" w:hAnsi="Calibri" w:cs="Calibri"/>
          <w:color w:val="000000"/>
          <w:lang w:eastAsia="ru-RU"/>
        </w:rPr>
        <w:t> </w:t>
      </w:r>
    </w:p>
    <w:p w:rsidR="009C62A4" w:rsidRPr="009C62A4" w:rsidRDefault="009C62A4" w:rsidP="009C62A4">
      <w:pPr>
        <w:spacing w:after="0" w:line="240" w:lineRule="auto"/>
        <w:rPr>
          <w:rFonts w:ascii="Times New Roman" w:eastAsia="Times New Roman" w:hAnsi="Times New Roman" w:cs="Times New Roman"/>
          <w:sz w:val="24"/>
          <w:szCs w:val="24"/>
          <w:lang w:eastAsia="ru-RU"/>
        </w:rPr>
      </w:pPr>
      <w:r w:rsidRPr="009C62A4">
        <w:rPr>
          <w:rFonts w:ascii="Times New Roman" w:eastAsia="Times New Roman" w:hAnsi="Times New Roman" w:cs="Times New Roman"/>
          <w:sz w:val="24"/>
          <w:szCs w:val="24"/>
          <w:lang w:eastAsia="ru-RU"/>
        </w:rPr>
        <w:pict>
          <v:rect id="_x0000_i1027" style="width:278.7pt;height:.65pt" o:hrpct="0" o:hrstd="t" o:hrnoshade="t" o:hr="t" fillcolor="black" stroked="f"/>
        </w:pict>
      </w:r>
    </w:p>
    <w:bookmarkStart w:id="6" w:name="_ftn1"/>
    <w:bookmarkEnd w:id="6"/>
    <w:p w:rsidR="009C62A4" w:rsidRPr="009C62A4" w:rsidRDefault="009C62A4" w:rsidP="009C62A4">
      <w:pPr>
        <w:spacing w:line="240" w:lineRule="auto"/>
        <w:jc w:val="both"/>
        <w:rPr>
          <w:rFonts w:ascii="Times New Roman" w:eastAsia="Times New Roman" w:hAnsi="Times New Roman" w:cs="Times New Roman"/>
          <w:color w:val="000000"/>
          <w:sz w:val="27"/>
          <w:szCs w:val="27"/>
          <w:lang w:eastAsia="ru-RU"/>
        </w:rPr>
      </w:pPr>
      <w:r w:rsidRPr="009C62A4">
        <w:rPr>
          <w:rFonts w:ascii="Times New Roman" w:eastAsia="Times New Roman" w:hAnsi="Times New Roman" w:cs="Times New Roman"/>
          <w:color w:val="000000"/>
          <w:sz w:val="27"/>
          <w:szCs w:val="27"/>
          <w:lang w:eastAsia="ru-RU"/>
        </w:rPr>
        <w:fldChar w:fldCharType="begin"/>
      </w:r>
      <w:r w:rsidRPr="009C62A4">
        <w:rPr>
          <w:rFonts w:ascii="Times New Roman" w:eastAsia="Times New Roman" w:hAnsi="Times New Roman" w:cs="Times New Roman"/>
          <w:color w:val="000000"/>
          <w:sz w:val="27"/>
          <w:szCs w:val="27"/>
          <w:lang w:eastAsia="ru-RU"/>
        </w:rPr>
        <w:instrText xml:space="preserve"> HYPERLINK "http://translate.googleusercontent.com/translate_f" \l "_ftnref1" </w:instrText>
      </w:r>
      <w:r w:rsidRPr="009C62A4">
        <w:rPr>
          <w:rFonts w:ascii="Times New Roman" w:eastAsia="Times New Roman" w:hAnsi="Times New Roman" w:cs="Times New Roman"/>
          <w:color w:val="000000"/>
          <w:sz w:val="27"/>
          <w:szCs w:val="27"/>
          <w:lang w:eastAsia="ru-RU"/>
        </w:rPr>
        <w:fldChar w:fldCharType="separate"/>
      </w:r>
      <w:r w:rsidRPr="009C62A4">
        <w:rPr>
          <w:rFonts w:ascii="Times New Roman" w:eastAsia="Times New Roman" w:hAnsi="Times New Roman" w:cs="Times New Roman"/>
          <w:color w:val="0000FF"/>
          <w:sz w:val="27"/>
          <w:u w:val="single"/>
          <w:lang w:eastAsia="ru-RU"/>
        </w:rPr>
        <w:t>[1]</w:t>
      </w:r>
      <w:r w:rsidRPr="009C62A4">
        <w:rPr>
          <w:rFonts w:ascii="Times New Roman" w:eastAsia="Times New Roman" w:hAnsi="Times New Roman" w:cs="Times New Roman"/>
          <w:color w:val="000000"/>
          <w:sz w:val="27"/>
          <w:szCs w:val="27"/>
          <w:lang w:eastAsia="ru-RU"/>
        </w:rPr>
        <w:fldChar w:fldCharType="end"/>
      </w:r>
      <w:r w:rsidRPr="009C62A4">
        <w:rPr>
          <w:rFonts w:ascii="Times New Roman" w:eastAsia="Times New Roman" w:hAnsi="Times New Roman" w:cs="Times New Roman"/>
          <w:color w:val="000000"/>
          <w:sz w:val="27"/>
          <w:lang w:eastAsia="ru-RU"/>
        </w:rPr>
        <w:t> </w:t>
      </w:r>
      <w:r w:rsidRPr="009C62A4">
        <w:rPr>
          <w:rFonts w:ascii="Times New Roman" w:eastAsia="Times New Roman" w:hAnsi="Times New Roman" w:cs="Times New Roman"/>
          <w:color w:val="000000"/>
          <w:sz w:val="20"/>
          <w:szCs w:val="20"/>
          <w:lang w:eastAsia="ru-RU"/>
        </w:rPr>
        <w:t>Авторы хотели бы поблагодарить Джона Л. Бейли и Брэнди Н. Kleinman из Veritas консультативной группы, Inc за вклад в этой статье.</w:t>
      </w:r>
    </w:p>
    <w:bookmarkStart w:id="7" w:name="_ftn2"/>
    <w:bookmarkEnd w:id="7"/>
    <w:p w:rsidR="009C62A4" w:rsidRPr="009C62A4" w:rsidRDefault="009C62A4" w:rsidP="009C62A4">
      <w:pPr>
        <w:spacing w:line="240" w:lineRule="auto"/>
        <w:jc w:val="both"/>
        <w:rPr>
          <w:rFonts w:ascii="Times New Roman" w:eastAsia="Times New Roman" w:hAnsi="Times New Roman" w:cs="Times New Roman"/>
          <w:color w:val="000000"/>
          <w:sz w:val="27"/>
          <w:szCs w:val="27"/>
          <w:lang w:eastAsia="ru-RU"/>
        </w:rPr>
      </w:pPr>
      <w:r w:rsidRPr="009C62A4">
        <w:rPr>
          <w:rFonts w:ascii="Times New Roman" w:eastAsia="Times New Roman" w:hAnsi="Times New Roman" w:cs="Times New Roman"/>
          <w:color w:val="000000"/>
          <w:sz w:val="27"/>
          <w:szCs w:val="27"/>
          <w:lang w:eastAsia="ru-RU"/>
        </w:rPr>
        <w:fldChar w:fldCharType="begin"/>
      </w:r>
      <w:r w:rsidRPr="009C62A4">
        <w:rPr>
          <w:rFonts w:ascii="Times New Roman" w:eastAsia="Times New Roman" w:hAnsi="Times New Roman" w:cs="Times New Roman"/>
          <w:color w:val="000000"/>
          <w:sz w:val="27"/>
          <w:szCs w:val="27"/>
          <w:lang w:eastAsia="ru-RU"/>
        </w:rPr>
        <w:instrText xml:space="preserve"> HYPERLINK "http://translate.googleusercontent.com/translate_f" \l "_ftnref2" </w:instrText>
      </w:r>
      <w:r w:rsidRPr="009C62A4">
        <w:rPr>
          <w:rFonts w:ascii="Times New Roman" w:eastAsia="Times New Roman" w:hAnsi="Times New Roman" w:cs="Times New Roman"/>
          <w:color w:val="000000"/>
          <w:sz w:val="27"/>
          <w:szCs w:val="27"/>
          <w:lang w:eastAsia="ru-RU"/>
        </w:rPr>
        <w:fldChar w:fldCharType="separate"/>
      </w:r>
      <w:r w:rsidRPr="009C62A4">
        <w:rPr>
          <w:rFonts w:ascii="Times New Roman" w:eastAsia="Times New Roman" w:hAnsi="Times New Roman" w:cs="Times New Roman"/>
          <w:color w:val="0000FF"/>
          <w:sz w:val="27"/>
          <w:u w:val="single"/>
          <w:lang w:eastAsia="ru-RU"/>
        </w:rPr>
        <w:t>[2]</w:t>
      </w:r>
      <w:r w:rsidRPr="009C62A4">
        <w:rPr>
          <w:rFonts w:ascii="Times New Roman" w:eastAsia="Times New Roman" w:hAnsi="Times New Roman" w:cs="Times New Roman"/>
          <w:color w:val="000000"/>
          <w:sz w:val="27"/>
          <w:szCs w:val="27"/>
          <w:lang w:eastAsia="ru-RU"/>
        </w:rPr>
        <w:fldChar w:fldCharType="end"/>
      </w:r>
      <w:r w:rsidRPr="009C62A4">
        <w:rPr>
          <w:rFonts w:ascii="Times New Roman" w:eastAsia="Times New Roman" w:hAnsi="Times New Roman" w:cs="Times New Roman"/>
          <w:color w:val="000000"/>
          <w:sz w:val="27"/>
          <w:lang w:eastAsia="ru-RU"/>
        </w:rPr>
        <w:t> </w:t>
      </w:r>
      <w:r w:rsidRPr="009C62A4">
        <w:rPr>
          <w:rFonts w:ascii="Times New Roman" w:eastAsia="Times New Roman" w:hAnsi="Times New Roman" w:cs="Times New Roman"/>
          <w:color w:val="000000"/>
          <w:sz w:val="20"/>
          <w:szCs w:val="20"/>
          <w:lang w:eastAsia="ru-RU"/>
        </w:rPr>
        <w:t>AIA документов A102 - 2007 "стандартная форма договора между собственником и подрядчиком, где основой оплаты стоимости работы, а плата с гарантированной максимальной цены" и документ A103 - 2007 "стандартная форма договора между собственником и подрядчиком, где основы оплаты стоимости работы, а плата без гарантированной максимальной цены ".</w:t>
      </w:r>
    </w:p>
    <w:bookmarkStart w:id="8" w:name="_ftn3"/>
    <w:bookmarkEnd w:id="8"/>
    <w:p w:rsidR="009C62A4" w:rsidRPr="009C62A4" w:rsidRDefault="009C62A4" w:rsidP="009C62A4">
      <w:pPr>
        <w:spacing w:line="240" w:lineRule="auto"/>
        <w:jc w:val="both"/>
        <w:rPr>
          <w:rFonts w:ascii="Times New Roman" w:eastAsia="Times New Roman" w:hAnsi="Times New Roman" w:cs="Times New Roman"/>
          <w:color w:val="000000"/>
          <w:sz w:val="27"/>
          <w:szCs w:val="27"/>
          <w:lang w:eastAsia="ru-RU"/>
        </w:rPr>
      </w:pPr>
      <w:r w:rsidRPr="009C62A4">
        <w:rPr>
          <w:rFonts w:ascii="Times New Roman" w:eastAsia="Times New Roman" w:hAnsi="Times New Roman" w:cs="Times New Roman"/>
          <w:color w:val="000000"/>
          <w:sz w:val="27"/>
          <w:szCs w:val="27"/>
          <w:lang w:eastAsia="ru-RU"/>
        </w:rPr>
        <w:fldChar w:fldCharType="begin"/>
      </w:r>
      <w:r w:rsidRPr="009C62A4">
        <w:rPr>
          <w:rFonts w:ascii="Times New Roman" w:eastAsia="Times New Roman" w:hAnsi="Times New Roman" w:cs="Times New Roman"/>
          <w:color w:val="000000"/>
          <w:sz w:val="27"/>
          <w:szCs w:val="27"/>
          <w:lang w:eastAsia="ru-RU"/>
        </w:rPr>
        <w:instrText xml:space="preserve"> HYPERLINK "http://translate.googleusercontent.com/translate_f" \l "_ftnref3" </w:instrText>
      </w:r>
      <w:r w:rsidRPr="009C62A4">
        <w:rPr>
          <w:rFonts w:ascii="Times New Roman" w:eastAsia="Times New Roman" w:hAnsi="Times New Roman" w:cs="Times New Roman"/>
          <w:color w:val="000000"/>
          <w:sz w:val="27"/>
          <w:szCs w:val="27"/>
          <w:lang w:eastAsia="ru-RU"/>
        </w:rPr>
        <w:fldChar w:fldCharType="separate"/>
      </w:r>
      <w:r w:rsidRPr="009C62A4">
        <w:rPr>
          <w:rFonts w:ascii="Times New Roman" w:eastAsia="Times New Roman" w:hAnsi="Times New Roman" w:cs="Times New Roman"/>
          <w:color w:val="0000FF"/>
          <w:sz w:val="27"/>
          <w:u w:val="single"/>
          <w:lang w:eastAsia="ru-RU"/>
        </w:rPr>
        <w:t>[3]</w:t>
      </w:r>
      <w:r w:rsidRPr="009C62A4">
        <w:rPr>
          <w:rFonts w:ascii="Times New Roman" w:eastAsia="Times New Roman" w:hAnsi="Times New Roman" w:cs="Times New Roman"/>
          <w:color w:val="000000"/>
          <w:sz w:val="27"/>
          <w:szCs w:val="27"/>
          <w:lang w:eastAsia="ru-RU"/>
        </w:rPr>
        <w:fldChar w:fldCharType="end"/>
      </w:r>
      <w:r w:rsidRPr="009C62A4">
        <w:rPr>
          <w:rFonts w:ascii="Times New Roman" w:eastAsia="Times New Roman" w:hAnsi="Times New Roman" w:cs="Times New Roman"/>
          <w:color w:val="000000"/>
          <w:sz w:val="27"/>
          <w:lang w:eastAsia="ru-RU"/>
        </w:rPr>
        <w:t> </w:t>
      </w:r>
      <w:r w:rsidRPr="009C62A4">
        <w:rPr>
          <w:rFonts w:ascii="Times New Roman" w:eastAsia="Times New Roman" w:hAnsi="Times New Roman" w:cs="Times New Roman"/>
          <w:color w:val="000000"/>
          <w:sz w:val="20"/>
          <w:szCs w:val="20"/>
          <w:lang w:eastAsia="ru-RU"/>
        </w:rPr>
        <w:t>Несмотря на среду совместной работы и взаимного отказа следует свести к минимуму риски, сочетание взаимного отказа от претензий вместе с правом на изменение целевой цены для увеличения расходов и ответственности владельца оплатить расходы до целевой цены будут в определенной степени переложить часть рисков, таких как риск дизайн ошибки владельца.</w:t>
      </w:r>
    </w:p>
    <w:bookmarkStart w:id="9" w:name="_ftn4"/>
    <w:bookmarkEnd w:id="9"/>
    <w:p w:rsidR="009C62A4" w:rsidRPr="009C62A4" w:rsidRDefault="009C62A4" w:rsidP="009C62A4">
      <w:pPr>
        <w:spacing w:line="240" w:lineRule="auto"/>
        <w:rPr>
          <w:rFonts w:ascii="Times New Roman" w:eastAsia="Times New Roman" w:hAnsi="Times New Roman" w:cs="Times New Roman"/>
          <w:color w:val="000000"/>
          <w:sz w:val="27"/>
          <w:szCs w:val="27"/>
          <w:lang w:eastAsia="ru-RU"/>
        </w:rPr>
      </w:pPr>
      <w:r w:rsidRPr="009C62A4">
        <w:rPr>
          <w:rFonts w:ascii="Times New Roman" w:eastAsia="Times New Roman" w:hAnsi="Times New Roman" w:cs="Times New Roman"/>
          <w:color w:val="000000"/>
          <w:sz w:val="27"/>
          <w:szCs w:val="27"/>
          <w:lang w:eastAsia="ru-RU"/>
        </w:rPr>
        <w:fldChar w:fldCharType="begin"/>
      </w:r>
      <w:r w:rsidRPr="009C62A4">
        <w:rPr>
          <w:rFonts w:ascii="Times New Roman" w:eastAsia="Times New Roman" w:hAnsi="Times New Roman" w:cs="Times New Roman"/>
          <w:color w:val="000000"/>
          <w:sz w:val="27"/>
          <w:szCs w:val="27"/>
          <w:lang w:eastAsia="ru-RU"/>
        </w:rPr>
        <w:instrText xml:space="preserve"> HYPERLINK "http://translate.googleusercontent.com/translate_f" \l "_ftnref4" </w:instrText>
      </w:r>
      <w:r w:rsidRPr="009C62A4">
        <w:rPr>
          <w:rFonts w:ascii="Times New Roman" w:eastAsia="Times New Roman" w:hAnsi="Times New Roman" w:cs="Times New Roman"/>
          <w:color w:val="000000"/>
          <w:sz w:val="27"/>
          <w:szCs w:val="27"/>
          <w:lang w:eastAsia="ru-RU"/>
        </w:rPr>
        <w:fldChar w:fldCharType="separate"/>
      </w:r>
      <w:r w:rsidRPr="009C62A4">
        <w:rPr>
          <w:rFonts w:ascii="Times New Roman" w:eastAsia="Times New Roman" w:hAnsi="Times New Roman" w:cs="Times New Roman"/>
          <w:color w:val="0000FF"/>
          <w:sz w:val="27"/>
          <w:u w:val="single"/>
          <w:lang w:eastAsia="ru-RU"/>
        </w:rPr>
        <w:t>[4]</w:t>
      </w:r>
      <w:r w:rsidRPr="009C62A4">
        <w:rPr>
          <w:rFonts w:ascii="Times New Roman" w:eastAsia="Times New Roman" w:hAnsi="Times New Roman" w:cs="Times New Roman"/>
          <w:color w:val="000000"/>
          <w:sz w:val="27"/>
          <w:szCs w:val="27"/>
          <w:lang w:eastAsia="ru-RU"/>
        </w:rPr>
        <w:fldChar w:fldCharType="end"/>
      </w:r>
      <w:r w:rsidRPr="009C62A4">
        <w:rPr>
          <w:rFonts w:ascii="Times New Roman" w:eastAsia="Times New Roman" w:hAnsi="Times New Roman" w:cs="Times New Roman"/>
          <w:color w:val="000000"/>
          <w:sz w:val="27"/>
          <w:lang w:eastAsia="ru-RU"/>
        </w:rPr>
        <w:t> </w:t>
      </w:r>
      <w:r w:rsidRPr="009C62A4">
        <w:rPr>
          <w:rFonts w:ascii="Times New Roman" w:eastAsia="Times New Roman" w:hAnsi="Times New Roman" w:cs="Times New Roman"/>
          <w:color w:val="000000"/>
          <w:sz w:val="20"/>
          <w:szCs w:val="20"/>
          <w:lang w:eastAsia="ru-RU"/>
        </w:rPr>
        <w:t>отличный обсуждения преимуществ этого способа доставки, а также сравнение ConsensusDocs 300 и AIA C191 формы контрактов можно найти в разделе "Строительство юрист," Vol.</w:t>
      </w:r>
      <w:r w:rsidRPr="009C62A4">
        <w:rPr>
          <w:rFonts w:ascii="Times New Roman" w:eastAsia="Times New Roman" w:hAnsi="Times New Roman" w:cs="Times New Roman"/>
          <w:color w:val="000000"/>
          <w:sz w:val="27"/>
          <w:lang w:eastAsia="ru-RU"/>
        </w:rPr>
        <w:t> </w:t>
      </w:r>
      <w:r w:rsidRPr="009C62A4">
        <w:rPr>
          <w:rFonts w:ascii="Times New Roman" w:eastAsia="Times New Roman" w:hAnsi="Times New Roman" w:cs="Times New Roman"/>
          <w:color w:val="000000"/>
          <w:sz w:val="20"/>
          <w:szCs w:val="20"/>
          <w:lang w:eastAsia="ru-RU"/>
        </w:rPr>
        <w:t>31, номер 3, лето 2011 года.</w:t>
      </w:r>
    </w:p>
    <w:bookmarkStart w:id="10" w:name="_ftn5"/>
    <w:bookmarkEnd w:id="10"/>
    <w:p w:rsidR="009C62A4" w:rsidRPr="009C62A4" w:rsidRDefault="009C62A4" w:rsidP="009C62A4">
      <w:pPr>
        <w:spacing w:line="240" w:lineRule="auto"/>
        <w:jc w:val="both"/>
        <w:rPr>
          <w:rFonts w:ascii="Times New Roman" w:eastAsia="Times New Roman" w:hAnsi="Times New Roman" w:cs="Times New Roman"/>
          <w:color w:val="000000"/>
          <w:sz w:val="27"/>
          <w:szCs w:val="27"/>
          <w:lang w:eastAsia="ru-RU"/>
        </w:rPr>
      </w:pPr>
      <w:r w:rsidRPr="009C62A4">
        <w:rPr>
          <w:rFonts w:ascii="Times New Roman" w:eastAsia="Times New Roman" w:hAnsi="Times New Roman" w:cs="Times New Roman"/>
          <w:color w:val="000000"/>
          <w:sz w:val="27"/>
          <w:szCs w:val="27"/>
          <w:lang w:eastAsia="ru-RU"/>
        </w:rPr>
        <w:fldChar w:fldCharType="begin"/>
      </w:r>
      <w:r w:rsidRPr="009C62A4">
        <w:rPr>
          <w:rFonts w:ascii="Times New Roman" w:eastAsia="Times New Roman" w:hAnsi="Times New Roman" w:cs="Times New Roman"/>
          <w:color w:val="000000"/>
          <w:sz w:val="27"/>
          <w:szCs w:val="27"/>
          <w:lang w:eastAsia="ru-RU"/>
        </w:rPr>
        <w:instrText xml:space="preserve"> HYPERLINK "http://translate.googleusercontent.com/translate_f" \l "_ftnref5" </w:instrText>
      </w:r>
      <w:r w:rsidRPr="009C62A4">
        <w:rPr>
          <w:rFonts w:ascii="Times New Roman" w:eastAsia="Times New Roman" w:hAnsi="Times New Roman" w:cs="Times New Roman"/>
          <w:color w:val="000000"/>
          <w:sz w:val="27"/>
          <w:szCs w:val="27"/>
          <w:lang w:eastAsia="ru-RU"/>
        </w:rPr>
        <w:fldChar w:fldCharType="separate"/>
      </w:r>
      <w:r w:rsidRPr="009C62A4">
        <w:rPr>
          <w:rFonts w:ascii="Times New Roman" w:eastAsia="Times New Roman" w:hAnsi="Times New Roman" w:cs="Times New Roman"/>
          <w:color w:val="0000FF"/>
          <w:sz w:val="27"/>
          <w:u w:val="single"/>
          <w:lang w:eastAsia="ru-RU"/>
        </w:rPr>
        <w:t>[5]</w:t>
      </w:r>
      <w:r w:rsidRPr="009C62A4">
        <w:rPr>
          <w:rFonts w:ascii="Times New Roman" w:eastAsia="Times New Roman" w:hAnsi="Times New Roman" w:cs="Times New Roman"/>
          <w:color w:val="000000"/>
          <w:sz w:val="27"/>
          <w:szCs w:val="27"/>
          <w:lang w:eastAsia="ru-RU"/>
        </w:rPr>
        <w:fldChar w:fldCharType="end"/>
      </w:r>
      <w:r w:rsidRPr="009C62A4">
        <w:rPr>
          <w:rFonts w:ascii="Times New Roman" w:eastAsia="Times New Roman" w:hAnsi="Times New Roman" w:cs="Times New Roman"/>
          <w:color w:val="000000"/>
          <w:sz w:val="27"/>
          <w:lang w:eastAsia="ru-RU"/>
        </w:rPr>
        <w:t> </w:t>
      </w:r>
      <w:r w:rsidRPr="009C62A4">
        <w:rPr>
          <w:rFonts w:ascii="Times New Roman" w:eastAsia="Times New Roman" w:hAnsi="Times New Roman" w:cs="Times New Roman"/>
          <w:color w:val="000000"/>
          <w:sz w:val="20"/>
          <w:szCs w:val="20"/>
          <w:lang w:eastAsia="ru-RU"/>
        </w:rPr>
        <w:t>Группа управления изначально определен как представитель собственника, представитель дизайнера, и представитель подрядчика.</w:t>
      </w:r>
      <w:r w:rsidRPr="009C62A4">
        <w:rPr>
          <w:rFonts w:ascii="Times New Roman" w:eastAsia="Times New Roman" w:hAnsi="Times New Roman" w:cs="Times New Roman"/>
          <w:color w:val="000000"/>
          <w:sz w:val="27"/>
          <w:lang w:eastAsia="ru-RU"/>
        </w:rPr>
        <w:t> </w:t>
      </w:r>
      <w:r w:rsidRPr="009C62A4">
        <w:rPr>
          <w:rFonts w:ascii="Times New Roman" w:eastAsia="Times New Roman" w:hAnsi="Times New Roman" w:cs="Times New Roman"/>
          <w:color w:val="000000"/>
          <w:sz w:val="20"/>
          <w:szCs w:val="20"/>
          <w:lang w:eastAsia="ru-RU"/>
        </w:rPr>
        <w:t>AGC300 предусматривает дополнительных участников проекта в качестве членов группы управления по приглашению.</w:t>
      </w:r>
    </w:p>
    <w:bookmarkStart w:id="11" w:name="_ftn6"/>
    <w:bookmarkEnd w:id="11"/>
    <w:p w:rsidR="009C62A4" w:rsidRPr="009C62A4" w:rsidRDefault="009C62A4" w:rsidP="009C62A4">
      <w:pPr>
        <w:spacing w:line="240" w:lineRule="auto"/>
        <w:jc w:val="both"/>
        <w:rPr>
          <w:rFonts w:ascii="Times New Roman" w:eastAsia="Times New Roman" w:hAnsi="Times New Roman" w:cs="Times New Roman"/>
          <w:color w:val="000000"/>
          <w:sz w:val="27"/>
          <w:szCs w:val="27"/>
          <w:lang w:eastAsia="ru-RU"/>
        </w:rPr>
      </w:pPr>
      <w:r w:rsidRPr="009C62A4">
        <w:rPr>
          <w:rFonts w:ascii="Times New Roman" w:eastAsia="Times New Roman" w:hAnsi="Times New Roman" w:cs="Times New Roman"/>
          <w:color w:val="000000"/>
          <w:sz w:val="27"/>
          <w:szCs w:val="27"/>
          <w:lang w:eastAsia="ru-RU"/>
        </w:rPr>
        <w:fldChar w:fldCharType="begin"/>
      </w:r>
      <w:r w:rsidRPr="009C62A4">
        <w:rPr>
          <w:rFonts w:ascii="Times New Roman" w:eastAsia="Times New Roman" w:hAnsi="Times New Roman" w:cs="Times New Roman"/>
          <w:color w:val="000000"/>
          <w:sz w:val="27"/>
          <w:szCs w:val="27"/>
          <w:lang w:eastAsia="ru-RU"/>
        </w:rPr>
        <w:instrText xml:space="preserve"> HYPERLINK "http://translate.googleusercontent.com/translate_f" \l "_ftnref6" </w:instrText>
      </w:r>
      <w:r w:rsidRPr="009C62A4">
        <w:rPr>
          <w:rFonts w:ascii="Times New Roman" w:eastAsia="Times New Roman" w:hAnsi="Times New Roman" w:cs="Times New Roman"/>
          <w:color w:val="000000"/>
          <w:sz w:val="27"/>
          <w:szCs w:val="27"/>
          <w:lang w:eastAsia="ru-RU"/>
        </w:rPr>
        <w:fldChar w:fldCharType="separate"/>
      </w:r>
      <w:r w:rsidRPr="009C62A4">
        <w:rPr>
          <w:rFonts w:ascii="Times New Roman" w:eastAsia="Times New Roman" w:hAnsi="Times New Roman" w:cs="Times New Roman"/>
          <w:color w:val="0000FF"/>
          <w:sz w:val="27"/>
          <w:u w:val="single"/>
          <w:lang w:eastAsia="ru-RU"/>
        </w:rPr>
        <w:t>[6]</w:t>
      </w:r>
      <w:r w:rsidRPr="009C62A4">
        <w:rPr>
          <w:rFonts w:ascii="Times New Roman" w:eastAsia="Times New Roman" w:hAnsi="Times New Roman" w:cs="Times New Roman"/>
          <w:color w:val="000000"/>
          <w:sz w:val="27"/>
          <w:szCs w:val="27"/>
          <w:lang w:eastAsia="ru-RU"/>
        </w:rPr>
        <w:fldChar w:fldCharType="end"/>
      </w:r>
      <w:r w:rsidRPr="009C62A4">
        <w:rPr>
          <w:rFonts w:ascii="Times New Roman" w:eastAsia="Times New Roman" w:hAnsi="Times New Roman" w:cs="Times New Roman"/>
          <w:color w:val="000000"/>
          <w:sz w:val="27"/>
          <w:lang w:eastAsia="ru-RU"/>
        </w:rPr>
        <w:t> </w:t>
      </w:r>
      <w:r w:rsidRPr="009C62A4">
        <w:rPr>
          <w:rFonts w:ascii="Times New Roman" w:eastAsia="Times New Roman" w:hAnsi="Times New Roman" w:cs="Times New Roman"/>
          <w:color w:val="000000"/>
          <w:sz w:val="20"/>
          <w:szCs w:val="20"/>
          <w:lang w:eastAsia="ru-RU"/>
        </w:rPr>
        <w:t>Для сравнения, риск перерасхода средств полностью берет на себя подрядчик или GMP или единовременно договора и экономия от эффективной работы осуществляются в полном объеме Владелец в стоимость договора и возмещения подрядчику в виде единовременной суммы контракта .</w:t>
      </w:r>
    </w:p>
    <w:p w:rsidR="00395148" w:rsidRDefault="00395148"/>
    <w:sectPr w:rsidR="00395148" w:rsidSect="0039514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Futur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9C62A4"/>
    <w:rsid w:val="00395148"/>
    <w:rsid w:val="007E085B"/>
    <w:rsid w:val="009C62A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514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C62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9C62A4"/>
  </w:style>
  <w:style w:type="character" w:styleId="a4">
    <w:name w:val="Hyperlink"/>
    <w:basedOn w:val="a0"/>
    <w:uiPriority w:val="99"/>
    <w:semiHidden/>
    <w:unhideWhenUsed/>
    <w:rsid w:val="009C62A4"/>
    <w:rPr>
      <w:color w:val="0000FF"/>
      <w:u w:val="single"/>
    </w:rPr>
  </w:style>
  <w:style w:type="character" w:styleId="a5">
    <w:name w:val="FollowedHyperlink"/>
    <w:basedOn w:val="a0"/>
    <w:uiPriority w:val="99"/>
    <w:semiHidden/>
    <w:unhideWhenUsed/>
    <w:rsid w:val="009C62A4"/>
    <w:rPr>
      <w:color w:val="800080"/>
      <w:u w:val="single"/>
    </w:rPr>
  </w:style>
</w:styles>
</file>

<file path=word/webSettings.xml><?xml version="1.0" encoding="utf-8"?>
<w:webSettings xmlns:r="http://schemas.openxmlformats.org/officeDocument/2006/relationships" xmlns:w="http://schemas.openxmlformats.org/wordprocessingml/2006/main">
  <w:divs>
    <w:div w:id="1663240277">
      <w:bodyDiv w:val="1"/>
      <w:marLeft w:val="0"/>
      <w:marRight w:val="0"/>
      <w:marTop w:val="0"/>
      <w:marBottom w:val="0"/>
      <w:divBdr>
        <w:top w:val="none" w:sz="0" w:space="0" w:color="auto"/>
        <w:left w:val="none" w:sz="0" w:space="0" w:color="auto"/>
        <w:bottom w:val="none" w:sz="0" w:space="0" w:color="auto"/>
        <w:right w:val="none" w:sz="0" w:space="0" w:color="auto"/>
      </w:divBdr>
      <w:divsChild>
        <w:div w:id="497841131">
          <w:marLeft w:val="0"/>
          <w:marRight w:val="0"/>
          <w:marTop w:val="0"/>
          <w:marBottom w:val="0"/>
          <w:divBdr>
            <w:top w:val="none" w:sz="0" w:space="0" w:color="auto"/>
            <w:left w:val="none" w:sz="0" w:space="0" w:color="auto"/>
            <w:bottom w:val="none" w:sz="0" w:space="0" w:color="auto"/>
            <w:right w:val="none" w:sz="0" w:space="0" w:color="auto"/>
          </w:divBdr>
        </w:div>
        <w:div w:id="542670001">
          <w:marLeft w:val="0"/>
          <w:marRight w:val="0"/>
          <w:marTop w:val="0"/>
          <w:marBottom w:val="0"/>
          <w:divBdr>
            <w:top w:val="none" w:sz="0" w:space="0" w:color="auto"/>
            <w:left w:val="none" w:sz="0" w:space="0" w:color="auto"/>
            <w:bottom w:val="none" w:sz="0" w:space="0" w:color="auto"/>
            <w:right w:val="none" w:sz="0" w:space="0" w:color="auto"/>
          </w:divBdr>
        </w:div>
        <w:div w:id="7477710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9655</Words>
  <Characters>55037</Characters>
  <Application>Microsoft Office Word</Application>
  <DocSecurity>0</DocSecurity>
  <Lines>458</Lines>
  <Paragraphs>129</Paragraphs>
  <ScaleCrop>false</ScaleCrop>
  <Company>Microsoft</Company>
  <LinksUpToDate>false</LinksUpToDate>
  <CharactersWithSpaces>64563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Слава</dc:creator>
  <cp:keywords/>
  <dc:description/>
  <cp:lastModifiedBy>Слава</cp:lastModifiedBy>
  <cp:revision>2</cp:revision>
  <dcterms:created xsi:type="dcterms:W3CDTF">2012-08-15T08:41:00Z</dcterms:created>
  <dcterms:modified xsi:type="dcterms:W3CDTF">2012-08-15T08:41:00Z</dcterms:modified>
</cp:coreProperties>
</file>